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12C8B" w14:textId="77777777" w:rsidR="00A94609" w:rsidRDefault="00A94609" w:rsidP="00A94609">
      <w:pPr>
        <w:pStyle w:val="Titolo1"/>
        <w:spacing w:before="0" w:line="275" w:lineRule="auto"/>
        <w:jc w:val="center"/>
        <w:rPr>
          <w:rFonts w:eastAsia="Google Sans"/>
          <w:sz w:val="36"/>
          <w:szCs w:val="36"/>
        </w:rPr>
      </w:pPr>
    </w:p>
    <w:p w14:paraId="345E64A5" w14:textId="06620EDF" w:rsidR="00A94609" w:rsidRPr="00D96484" w:rsidRDefault="00A94609" w:rsidP="00A94609">
      <w:pPr>
        <w:pStyle w:val="Titolo1"/>
        <w:spacing w:before="0" w:line="275" w:lineRule="auto"/>
        <w:jc w:val="center"/>
        <w:rPr>
          <w:rFonts w:eastAsia="Google Sans"/>
          <w:color w:val="44546A" w:themeColor="text2"/>
          <w:sz w:val="36"/>
          <w:szCs w:val="36"/>
        </w:rPr>
      </w:pPr>
      <w:r w:rsidRPr="00D96484">
        <w:rPr>
          <w:rFonts w:eastAsia="Google Sans"/>
          <w:color w:val="44546A" w:themeColor="text2"/>
          <w:sz w:val="36"/>
          <w:szCs w:val="36"/>
        </w:rPr>
        <w:t>DISCIPLINARE DI CONCORSO DI IDEE</w:t>
      </w:r>
    </w:p>
    <w:p w14:paraId="0582339D" w14:textId="77777777" w:rsidR="00A94609" w:rsidRPr="00D96484" w:rsidRDefault="00A94609" w:rsidP="00A94609">
      <w:pPr>
        <w:pStyle w:val="Titolo2"/>
        <w:spacing w:before="0" w:line="275" w:lineRule="auto"/>
        <w:jc w:val="center"/>
        <w:rPr>
          <w:rFonts w:eastAsia="Google Sans"/>
          <w:color w:val="44546A" w:themeColor="text2"/>
          <w:sz w:val="28"/>
          <w:szCs w:val="28"/>
        </w:rPr>
      </w:pPr>
    </w:p>
    <w:p w14:paraId="2447D580" w14:textId="2EAB7274" w:rsidR="00A94609" w:rsidRPr="00D96484" w:rsidRDefault="00A94609" w:rsidP="00A94609">
      <w:pPr>
        <w:pStyle w:val="Titolo2"/>
        <w:spacing w:before="0" w:line="275" w:lineRule="auto"/>
        <w:jc w:val="center"/>
        <w:rPr>
          <w:rFonts w:eastAsia="Google Sans"/>
          <w:color w:val="44546A" w:themeColor="text2"/>
          <w:sz w:val="28"/>
          <w:szCs w:val="28"/>
        </w:rPr>
      </w:pPr>
      <w:r w:rsidRPr="00D96484">
        <w:rPr>
          <w:rFonts w:eastAsia="Google Sans"/>
          <w:color w:val="44546A" w:themeColor="text2"/>
          <w:sz w:val="28"/>
          <w:szCs w:val="28"/>
        </w:rPr>
        <w:t xml:space="preserve">Progetto di </w:t>
      </w:r>
      <w:r w:rsidR="00FA429A">
        <w:rPr>
          <w:rFonts w:eastAsia="Google Sans"/>
          <w:color w:val="44546A" w:themeColor="text2"/>
          <w:sz w:val="28"/>
          <w:szCs w:val="28"/>
        </w:rPr>
        <w:t>r</w:t>
      </w:r>
      <w:r w:rsidRPr="00D96484">
        <w:rPr>
          <w:rFonts w:eastAsia="Google Sans"/>
          <w:color w:val="44546A" w:themeColor="text2"/>
          <w:sz w:val="28"/>
          <w:szCs w:val="28"/>
        </w:rPr>
        <w:t xml:space="preserve">iqualificazione, </w:t>
      </w:r>
      <w:r w:rsidR="00FA429A">
        <w:rPr>
          <w:rFonts w:eastAsia="Google Sans"/>
          <w:color w:val="44546A" w:themeColor="text2"/>
          <w:sz w:val="28"/>
          <w:szCs w:val="28"/>
        </w:rPr>
        <w:t>v</w:t>
      </w:r>
      <w:r w:rsidRPr="00D96484">
        <w:rPr>
          <w:rFonts w:eastAsia="Google Sans"/>
          <w:color w:val="44546A" w:themeColor="text2"/>
          <w:sz w:val="28"/>
          <w:szCs w:val="28"/>
        </w:rPr>
        <w:t xml:space="preserve">alorizzazione e </w:t>
      </w:r>
      <w:r w:rsidR="00FA429A">
        <w:rPr>
          <w:rFonts w:eastAsia="Google Sans"/>
          <w:color w:val="44546A" w:themeColor="text2"/>
          <w:sz w:val="28"/>
          <w:szCs w:val="28"/>
        </w:rPr>
        <w:t>a</w:t>
      </w:r>
      <w:r w:rsidRPr="00D96484">
        <w:rPr>
          <w:rFonts w:eastAsia="Google Sans"/>
          <w:color w:val="44546A" w:themeColor="text2"/>
          <w:sz w:val="28"/>
          <w:szCs w:val="28"/>
        </w:rPr>
        <w:t xml:space="preserve">mpliamento del </w:t>
      </w:r>
      <w:r w:rsidR="00FA429A">
        <w:rPr>
          <w:rFonts w:eastAsia="Google Sans"/>
          <w:color w:val="44546A" w:themeColor="text2"/>
          <w:sz w:val="28"/>
          <w:szCs w:val="28"/>
        </w:rPr>
        <w:t>sito</w:t>
      </w:r>
      <w:r w:rsidRPr="00D96484">
        <w:rPr>
          <w:rFonts w:eastAsia="Google Sans"/>
          <w:color w:val="44546A" w:themeColor="text2"/>
          <w:sz w:val="28"/>
          <w:szCs w:val="28"/>
        </w:rPr>
        <w:t xml:space="preserve"> </w:t>
      </w:r>
      <w:r w:rsidR="00FA429A">
        <w:rPr>
          <w:rFonts w:eastAsia="Google Sans"/>
          <w:color w:val="44546A" w:themeColor="text2"/>
          <w:sz w:val="28"/>
          <w:szCs w:val="28"/>
        </w:rPr>
        <w:t>produttivo</w:t>
      </w:r>
      <w:r w:rsidRPr="00D96484">
        <w:rPr>
          <w:rFonts w:eastAsia="Google Sans"/>
          <w:color w:val="44546A" w:themeColor="text2"/>
          <w:sz w:val="28"/>
          <w:szCs w:val="28"/>
        </w:rPr>
        <w:t xml:space="preserve"> </w:t>
      </w:r>
      <w:proofErr w:type="spellStart"/>
      <w:r w:rsidRPr="00D96484">
        <w:rPr>
          <w:rFonts w:eastAsia="Google Sans"/>
          <w:color w:val="44546A" w:themeColor="text2"/>
          <w:sz w:val="28"/>
          <w:szCs w:val="28"/>
        </w:rPr>
        <w:t>Drorys</w:t>
      </w:r>
      <w:proofErr w:type="spellEnd"/>
      <w:r w:rsidRPr="00D96484">
        <w:rPr>
          <w:rFonts w:eastAsia="Google Sans"/>
          <w:color w:val="44546A" w:themeColor="text2"/>
          <w:sz w:val="28"/>
          <w:szCs w:val="28"/>
        </w:rPr>
        <w:t xml:space="preserve"> </w:t>
      </w:r>
      <w:proofErr w:type="spellStart"/>
      <w:r w:rsidRPr="00D96484">
        <w:rPr>
          <w:rFonts w:eastAsia="Google Sans"/>
          <w:color w:val="44546A" w:themeColor="text2"/>
          <w:sz w:val="28"/>
          <w:szCs w:val="28"/>
        </w:rPr>
        <w:t>Packlist</w:t>
      </w:r>
      <w:proofErr w:type="spellEnd"/>
      <w:r w:rsidRPr="00D96484">
        <w:rPr>
          <w:rFonts w:eastAsia="Google Sans"/>
          <w:color w:val="44546A" w:themeColor="text2"/>
          <w:sz w:val="28"/>
          <w:szCs w:val="28"/>
        </w:rPr>
        <w:t xml:space="preserve"> </w:t>
      </w:r>
      <w:proofErr w:type="spellStart"/>
      <w:r w:rsidRPr="00D96484">
        <w:rPr>
          <w:rFonts w:eastAsia="Google Sans"/>
          <w:color w:val="44546A" w:themeColor="text2"/>
          <w:sz w:val="28"/>
          <w:szCs w:val="28"/>
        </w:rPr>
        <w:t>S</w:t>
      </w:r>
      <w:r w:rsidR="001A4068">
        <w:rPr>
          <w:rFonts w:eastAsia="Google Sans"/>
          <w:color w:val="44546A" w:themeColor="text2"/>
          <w:sz w:val="28"/>
          <w:szCs w:val="28"/>
        </w:rPr>
        <w:t>.</w:t>
      </w:r>
      <w:r w:rsidRPr="00D96484">
        <w:rPr>
          <w:rFonts w:eastAsia="Google Sans"/>
          <w:color w:val="44546A" w:themeColor="text2"/>
          <w:sz w:val="28"/>
          <w:szCs w:val="28"/>
        </w:rPr>
        <w:t>p</w:t>
      </w:r>
      <w:r w:rsidR="001A4068">
        <w:rPr>
          <w:rFonts w:eastAsia="Google Sans"/>
          <w:color w:val="44546A" w:themeColor="text2"/>
          <w:sz w:val="28"/>
          <w:szCs w:val="28"/>
        </w:rPr>
        <w:t>.</w:t>
      </w:r>
      <w:r w:rsidRPr="00D96484">
        <w:rPr>
          <w:rFonts w:eastAsia="Google Sans"/>
          <w:color w:val="44546A" w:themeColor="text2"/>
          <w:sz w:val="28"/>
          <w:szCs w:val="28"/>
        </w:rPr>
        <w:t>A</w:t>
      </w:r>
      <w:proofErr w:type="spellEnd"/>
      <w:r w:rsidR="00FA429A">
        <w:rPr>
          <w:rFonts w:eastAsia="Google Sans"/>
          <w:color w:val="44546A" w:themeColor="text2"/>
          <w:sz w:val="28"/>
          <w:szCs w:val="28"/>
        </w:rPr>
        <w:t>, v</w:t>
      </w:r>
      <w:r w:rsidRPr="00D96484">
        <w:rPr>
          <w:rFonts w:eastAsia="Google Sans"/>
          <w:color w:val="44546A" w:themeColor="text2"/>
          <w:sz w:val="28"/>
          <w:szCs w:val="28"/>
        </w:rPr>
        <w:t>erso l'Industria 5.0</w:t>
      </w:r>
    </w:p>
    <w:p w14:paraId="55D546A2" w14:textId="77777777" w:rsidR="00A94609" w:rsidRPr="00D96484" w:rsidRDefault="00A94609" w:rsidP="00A94609">
      <w:pPr>
        <w:pStyle w:val="Titolo3"/>
        <w:spacing w:before="0" w:line="275" w:lineRule="auto"/>
        <w:jc w:val="both"/>
        <w:rPr>
          <w:rFonts w:eastAsia="Google Sans"/>
          <w:color w:val="44546A" w:themeColor="text2"/>
          <w:sz w:val="22"/>
          <w:szCs w:val="22"/>
        </w:rPr>
      </w:pPr>
    </w:p>
    <w:p w14:paraId="72D654E1" w14:textId="6F02B48C" w:rsidR="00A94609" w:rsidRPr="00D96484" w:rsidRDefault="00A94609" w:rsidP="00A94609">
      <w:pPr>
        <w:pStyle w:val="Titolo3"/>
        <w:spacing w:before="0" w:line="275" w:lineRule="auto"/>
        <w:jc w:val="both"/>
        <w:rPr>
          <w:rFonts w:eastAsia="Google Sans"/>
          <w:color w:val="44546A" w:themeColor="text2"/>
          <w:sz w:val="22"/>
          <w:szCs w:val="22"/>
        </w:rPr>
      </w:pPr>
      <w:r w:rsidRPr="00D96484">
        <w:rPr>
          <w:rFonts w:eastAsia="Google Sans"/>
          <w:color w:val="44546A" w:themeColor="text2"/>
          <w:sz w:val="22"/>
          <w:szCs w:val="22"/>
        </w:rPr>
        <w:t>ART. 1 – ENTE BANDITORE, FINALITÀ E QUADRO NORMATIVO</w:t>
      </w:r>
    </w:p>
    <w:p w14:paraId="23834396" w14:textId="3320DD2C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1.1. Dati dell'Ente</w:t>
      </w:r>
      <w:r w:rsidRPr="00D96484">
        <w:rPr>
          <w:rFonts w:eastAsia="Google Sans"/>
          <w:color w:val="44546A" w:themeColor="text2"/>
        </w:rPr>
        <w:t xml:space="preserve"> L’Ente Banditore è la </w:t>
      </w:r>
      <w:proofErr w:type="spellStart"/>
      <w:r w:rsidRPr="00D96484">
        <w:rPr>
          <w:rFonts w:eastAsia="Google Sans"/>
          <w:b/>
          <w:bCs/>
          <w:color w:val="44546A" w:themeColor="text2"/>
        </w:rPr>
        <w:t>Drorys</w:t>
      </w:r>
      <w:proofErr w:type="spellEnd"/>
      <w:r w:rsidRPr="00D96484">
        <w:rPr>
          <w:rFonts w:eastAsia="Google Sans"/>
          <w:b/>
          <w:bCs/>
          <w:color w:val="44546A" w:themeColor="text2"/>
        </w:rPr>
        <w:t xml:space="preserve"> </w:t>
      </w:r>
      <w:proofErr w:type="spellStart"/>
      <w:r w:rsidRPr="00D96484">
        <w:rPr>
          <w:rFonts w:eastAsia="Google Sans"/>
          <w:b/>
          <w:bCs/>
          <w:color w:val="44546A" w:themeColor="text2"/>
        </w:rPr>
        <w:t>Packlist</w:t>
      </w:r>
      <w:proofErr w:type="spellEnd"/>
      <w:r w:rsidRPr="00D96484">
        <w:rPr>
          <w:rFonts w:eastAsia="Google Sans"/>
          <w:b/>
          <w:bCs/>
          <w:color w:val="44546A" w:themeColor="text2"/>
        </w:rPr>
        <w:t xml:space="preserve"> </w:t>
      </w:r>
      <w:proofErr w:type="spellStart"/>
      <w:r w:rsidRPr="00D96484">
        <w:rPr>
          <w:rFonts w:eastAsia="Google Sans"/>
          <w:b/>
          <w:bCs/>
          <w:color w:val="44546A" w:themeColor="text2"/>
        </w:rPr>
        <w:t>SpA</w:t>
      </w:r>
      <w:proofErr w:type="spellEnd"/>
      <w:r w:rsidRPr="00D96484">
        <w:rPr>
          <w:rFonts w:eastAsia="Google Sans"/>
          <w:color w:val="44546A" w:themeColor="text2"/>
        </w:rPr>
        <w:t xml:space="preserve">, con sede in Zona </w:t>
      </w:r>
      <w:proofErr w:type="spellStart"/>
      <w:r w:rsidRPr="00D96484">
        <w:rPr>
          <w:rFonts w:eastAsia="Google Sans"/>
          <w:color w:val="44546A" w:themeColor="text2"/>
        </w:rPr>
        <w:t>Ind</w:t>
      </w:r>
      <w:proofErr w:type="spellEnd"/>
      <w:r w:rsidRPr="00D96484">
        <w:rPr>
          <w:rFonts w:eastAsia="Google Sans"/>
          <w:color w:val="44546A" w:themeColor="text2"/>
        </w:rPr>
        <w:t xml:space="preserve">. </w:t>
      </w:r>
      <w:proofErr w:type="spellStart"/>
      <w:r w:rsidRPr="00D96484">
        <w:rPr>
          <w:rFonts w:eastAsia="Google Sans"/>
          <w:color w:val="44546A" w:themeColor="text2"/>
        </w:rPr>
        <w:t>Loc</w:t>
      </w:r>
      <w:proofErr w:type="spellEnd"/>
      <w:r w:rsidRPr="00D96484">
        <w:rPr>
          <w:rFonts w:eastAsia="Google Sans"/>
          <w:color w:val="44546A" w:themeColor="text2"/>
        </w:rPr>
        <w:t>. Sperlonga, Palomonte (SA). Il Responsabile Unico del Progetto (RUP) è</w:t>
      </w:r>
      <w:r w:rsidR="002978EE">
        <w:rPr>
          <w:rFonts w:eastAsia="Google Sans"/>
          <w:color w:val="44546A" w:themeColor="text2"/>
        </w:rPr>
        <w:t xml:space="preserve"> la Dottoressa Paola Serena De Lucia,</w:t>
      </w:r>
      <w:r w:rsidRPr="00D96484">
        <w:rPr>
          <w:rFonts w:eastAsia="Google Sans"/>
          <w:color w:val="44546A" w:themeColor="text2"/>
        </w:rPr>
        <w:t xml:space="preserve"> il Legale Rappresentante pro tempore della società</w:t>
      </w:r>
      <w:r w:rsidR="002978EE">
        <w:rPr>
          <w:rFonts w:eastAsia="Google Sans"/>
          <w:color w:val="44546A" w:themeColor="text2"/>
        </w:rPr>
        <w:t xml:space="preserve"> è il </w:t>
      </w:r>
      <w:r w:rsidR="0042003B">
        <w:rPr>
          <w:rFonts w:eastAsia="Google Sans"/>
          <w:color w:val="44546A" w:themeColor="text2"/>
        </w:rPr>
        <w:t>Dottor.</w:t>
      </w:r>
      <w:r w:rsidR="002978EE">
        <w:rPr>
          <w:rFonts w:eastAsia="Google Sans"/>
          <w:color w:val="44546A" w:themeColor="text2"/>
        </w:rPr>
        <w:t xml:space="preserve"> </w:t>
      </w:r>
      <w:r w:rsidR="0042003B">
        <w:rPr>
          <w:rFonts w:eastAsia="Google Sans"/>
          <w:color w:val="44546A" w:themeColor="text2"/>
        </w:rPr>
        <w:t>Gabriele Dino</w:t>
      </w:r>
      <w:r w:rsidR="002978EE">
        <w:rPr>
          <w:rFonts w:eastAsia="Google Sans"/>
          <w:color w:val="44546A" w:themeColor="text2"/>
        </w:rPr>
        <w:t xml:space="preserve"> </w:t>
      </w:r>
      <w:proofErr w:type="spellStart"/>
      <w:r w:rsidR="002978EE">
        <w:rPr>
          <w:rFonts w:eastAsia="Google Sans"/>
          <w:color w:val="44546A" w:themeColor="text2"/>
        </w:rPr>
        <w:t>Brocani</w:t>
      </w:r>
      <w:proofErr w:type="spellEnd"/>
      <w:r w:rsidRPr="00D96484">
        <w:rPr>
          <w:rFonts w:eastAsia="Google Sans"/>
          <w:color w:val="44546A" w:themeColor="text2"/>
        </w:rPr>
        <w:t>.</w:t>
      </w:r>
    </w:p>
    <w:p w14:paraId="7DC4911A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"/>
          <w:color w:val="44546A" w:themeColor="text2"/>
        </w:rPr>
      </w:pPr>
    </w:p>
    <w:p w14:paraId="78FF9AD0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1.2. Finalità e Collaborazioni</w:t>
      </w:r>
      <w:r w:rsidRPr="00D96484">
        <w:rPr>
          <w:rFonts w:eastAsia="Google Sans"/>
          <w:color w:val="44546A" w:themeColor="text2"/>
        </w:rPr>
        <w:t xml:space="preserve"> Il concorso mira a individuare una proposta ideativa per la trasformazione della sede aziendale in un modello di eccellenza per l'</w:t>
      </w:r>
      <w:r w:rsidRPr="00D96484">
        <w:rPr>
          <w:rFonts w:eastAsia="Google Sans"/>
          <w:b/>
          <w:bCs/>
          <w:color w:val="44546A" w:themeColor="text2"/>
        </w:rPr>
        <w:t>Industria 5.0</w:t>
      </w:r>
      <w:r w:rsidRPr="00D96484">
        <w:rPr>
          <w:rFonts w:eastAsia="Google Sans"/>
          <w:color w:val="44546A" w:themeColor="text2"/>
        </w:rPr>
        <w:t xml:space="preserve">. L'obiettivo è creare un "fil </w:t>
      </w:r>
      <w:proofErr w:type="spellStart"/>
      <w:r w:rsidRPr="00D96484">
        <w:rPr>
          <w:rFonts w:eastAsia="Google Sans"/>
          <w:color w:val="44546A" w:themeColor="text2"/>
        </w:rPr>
        <w:t>rouge</w:t>
      </w:r>
      <w:proofErr w:type="spellEnd"/>
      <w:r w:rsidRPr="00D96484">
        <w:rPr>
          <w:rFonts w:eastAsia="Google Sans"/>
          <w:color w:val="44546A" w:themeColor="text2"/>
        </w:rPr>
        <w:t>" tra la struttura architettonica e l'identità di un'azienda in profondo cambiamento. L'iniziativa gode del patrocinio dell’</w:t>
      </w:r>
      <w:r w:rsidRPr="00D96484">
        <w:rPr>
          <w:rFonts w:eastAsia="Google Sans"/>
          <w:b/>
          <w:bCs/>
          <w:color w:val="44546A" w:themeColor="text2"/>
        </w:rPr>
        <w:t>Ordine degli Architetti P.P.C. della Provincia di Salerno</w:t>
      </w:r>
      <w:r w:rsidRPr="00D96484">
        <w:rPr>
          <w:rFonts w:eastAsia="Google Sans"/>
          <w:color w:val="44546A" w:themeColor="text2"/>
        </w:rPr>
        <w:t>.</w:t>
      </w:r>
    </w:p>
    <w:p w14:paraId="00E30DE2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"/>
          <w:color w:val="44546A" w:themeColor="text2"/>
        </w:rPr>
      </w:pPr>
    </w:p>
    <w:p w14:paraId="2198555F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1.3. Quadro Normativo</w:t>
      </w:r>
      <w:r w:rsidRPr="00D96484">
        <w:rPr>
          <w:rFonts w:eastAsia="Google Sans"/>
          <w:color w:val="44546A" w:themeColor="text2"/>
        </w:rPr>
        <w:t xml:space="preserve"> La procedura è indetta ai sensi dell’art. 46, comma 4, del </w:t>
      </w:r>
      <w:proofErr w:type="spellStart"/>
      <w:r w:rsidRPr="00D96484">
        <w:rPr>
          <w:rFonts w:eastAsia="Google Sans"/>
          <w:color w:val="44546A" w:themeColor="text2"/>
        </w:rPr>
        <w:t>D.Lgs.</w:t>
      </w:r>
      <w:proofErr w:type="spellEnd"/>
      <w:r w:rsidRPr="00D96484">
        <w:rPr>
          <w:rFonts w:eastAsia="Google Sans"/>
          <w:color w:val="44546A" w:themeColor="text2"/>
        </w:rPr>
        <w:t xml:space="preserve"> 36/2023. Il concorso si svolge in due fasi: la prima in forma rigorosamente anonima e la seconda per la proclamazione del vincitore assoluto.</w:t>
      </w:r>
    </w:p>
    <w:p w14:paraId="6C0FCED0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"/>
          <w:color w:val="44546A" w:themeColor="text2"/>
        </w:rPr>
      </w:pPr>
    </w:p>
    <w:p w14:paraId="357DFAD6" w14:textId="77777777" w:rsidR="00A94609" w:rsidRPr="00D96484" w:rsidRDefault="00A94609" w:rsidP="00A94609">
      <w:pPr>
        <w:pStyle w:val="Titolo3"/>
        <w:spacing w:before="0" w:line="275" w:lineRule="auto"/>
        <w:jc w:val="both"/>
        <w:rPr>
          <w:rFonts w:eastAsia="Google Sans"/>
          <w:color w:val="44546A" w:themeColor="text2"/>
          <w:sz w:val="22"/>
          <w:szCs w:val="22"/>
        </w:rPr>
      </w:pPr>
      <w:r w:rsidRPr="00D96484">
        <w:rPr>
          <w:rFonts w:eastAsia="Google Sans"/>
          <w:color w:val="44546A" w:themeColor="text2"/>
          <w:sz w:val="22"/>
          <w:szCs w:val="22"/>
        </w:rPr>
        <w:t>ART. 2 – OGGETTO, VISIONE E INDIRIZZI TECNICI CONSIGLIATI</w:t>
      </w:r>
    </w:p>
    <w:p w14:paraId="3D0CA9F3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 xml:space="preserve">2.1. Visione Strategica: </w:t>
      </w:r>
      <w:proofErr w:type="spellStart"/>
      <w:r w:rsidRPr="00D96484">
        <w:rPr>
          <w:rFonts w:eastAsia="Google Sans"/>
          <w:b/>
          <w:bCs/>
          <w:color w:val="44546A" w:themeColor="text2"/>
        </w:rPr>
        <w:t>European</w:t>
      </w:r>
      <w:proofErr w:type="spellEnd"/>
      <w:r w:rsidRPr="00D96484">
        <w:rPr>
          <w:rFonts w:eastAsia="Google Sans"/>
          <w:b/>
          <w:bCs/>
          <w:color w:val="44546A" w:themeColor="text2"/>
        </w:rPr>
        <w:t xml:space="preserve"> Green Deal</w:t>
      </w:r>
      <w:r w:rsidRPr="00D96484">
        <w:rPr>
          <w:rFonts w:eastAsia="Google Sans"/>
          <w:color w:val="44546A" w:themeColor="text2"/>
        </w:rPr>
        <w:t xml:space="preserve"> Le proposte devono abbracciare una visione </w:t>
      </w:r>
      <w:proofErr w:type="spellStart"/>
      <w:r w:rsidRPr="00D96484">
        <w:rPr>
          <w:rFonts w:eastAsia="Google Sans"/>
          <w:b/>
          <w:bCs/>
          <w:color w:val="44546A" w:themeColor="text2"/>
        </w:rPr>
        <w:t>umanocentrica</w:t>
      </w:r>
      <w:proofErr w:type="spellEnd"/>
      <w:r w:rsidRPr="00D96484">
        <w:rPr>
          <w:rFonts w:eastAsia="Google Sans"/>
          <w:b/>
          <w:bCs/>
          <w:color w:val="44546A" w:themeColor="text2"/>
        </w:rPr>
        <w:t xml:space="preserve"> e sostenibile</w:t>
      </w:r>
      <w:r w:rsidRPr="00D96484">
        <w:rPr>
          <w:rFonts w:eastAsia="Google Sans"/>
          <w:color w:val="44546A" w:themeColor="text2"/>
        </w:rPr>
        <w:t>, garantendo una definitiva svolta "green" percepibile visivamente (corrispondenza tra interno ed esterno).</w:t>
      </w:r>
    </w:p>
    <w:p w14:paraId="29E0B0B0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"/>
          <w:color w:val="44546A" w:themeColor="text2"/>
        </w:rPr>
      </w:pPr>
    </w:p>
    <w:p w14:paraId="2BE70883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2.2. Orientamenti Progettuali e Soluzioni Suggerite (Non Obbligatorie)</w:t>
      </w:r>
      <w:r w:rsidRPr="00D96484">
        <w:rPr>
          <w:rFonts w:eastAsia="Google Sans"/>
          <w:color w:val="44546A" w:themeColor="text2"/>
        </w:rPr>
        <w:t xml:space="preserve"> In linea con la volontà di promuovere l'innovazione senza imporre vincoli rigidi, le seguenti soluzioni sono da considerarsi </w:t>
      </w:r>
      <w:r w:rsidRPr="00D96484">
        <w:rPr>
          <w:rFonts w:eastAsia="Google Sans"/>
          <w:b/>
          <w:bCs/>
          <w:color w:val="44546A" w:themeColor="text2"/>
        </w:rPr>
        <w:t>indirizzi consigliati</w:t>
      </w:r>
      <w:r w:rsidRPr="00D96484">
        <w:rPr>
          <w:rFonts w:eastAsia="Google Sans"/>
          <w:color w:val="44546A" w:themeColor="text2"/>
        </w:rPr>
        <w:t xml:space="preserve"> e non prescrizioni a pena di esclusione:</w:t>
      </w:r>
    </w:p>
    <w:p w14:paraId="593E4262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"/>
          <w:color w:val="44546A" w:themeColor="text2"/>
        </w:rPr>
      </w:pPr>
    </w:p>
    <w:p w14:paraId="44859DAA" w14:textId="77777777" w:rsidR="00A94609" w:rsidRPr="00D96484" w:rsidRDefault="00A94609" w:rsidP="00A94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Tunnel Solari</w:t>
      </w:r>
      <w:r w:rsidRPr="00D96484">
        <w:rPr>
          <w:rFonts w:eastAsia="Google Sans"/>
          <w:color w:val="44546A" w:themeColor="text2"/>
        </w:rPr>
        <w:t>: Sistemi per diffondere uniformemente la luce naturale, priva di apporto termico, per migliorare l'umore e il benessere dei dipendenti (apporto di vitamina D).</w:t>
      </w:r>
      <w:r w:rsidRPr="00D96484">
        <w:rPr>
          <w:color w:val="44546A" w:themeColor="text2"/>
        </w:rPr>
        <w:br/>
      </w:r>
    </w:p>
    <w:p w14:paraId="10D307F4" w14:textId="77777777" w:rsidR="00A94609" w:rsidRPr="00D96484" w:rsidRDefault="00A94609" w:rsidP="00A94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 xml:space="preserve">Green </w:t>
      </w:r>
      <w:proofErr w:type="spellStart"/>
      <w:r w:rsidRPr="00D96484">
        <w:rPr>
          <w:rFonts w:eastAsia="Google Sans"/>
          <w:b/>
          <w:bCs/>
          <w:color w:val="44546A" w:themeColor="text2"/>
        </w:rPr>
        <w:t>Roof</w:t>
      </w:r>
      <w:proofErr w:type="spellEnd"/>
      <w:r w:rsidRPr="00D96484">
        <w:rPr>
          <w:rFonts w:eastAsia="Google Sans"/>
          <w:b/>
          <w:bCs/>
          <w:color w:val="44546A" w:themeColor="text2"/>
        </w:rPr>
        <w:t xml:space="preserve"> (Tetti Verdi)</w:t>
      </w:r>
      <w:r w:rsidRPr="00D96484">
        <w:rPr>
          <w:rFonts w:eastAsia="Google Sans"/>
          <w:color w:val="44546A" w:themeColor="text2"/>
        </w:rPr>
        <w:t>: Coperture vegetali usufruibili per relax o eventi, capaci di agire come isolante termico e termoregolatore, mitigando gli effetti del cambiamento climatico.</w:t>
      </w:r>
    </w:p>
    <w:p w14:paraId="094068AD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jc w:val="both"/>
        <w:rPr>
          <w:rFonts w:eastAsia="Google Sans"/>
          <w:b/>
          <w:bCs/>
          <w:color w:val="44546A" w:themeColor="text2"/>
        </w:rPr>
      </w:pPr>
    </w:p>
    <w:p w14:paraId="1A2FE15D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jc w:val="both"/>
        <w:rPr>
          <w:color w:val="44546A" w:themeColor="text2"/>
        </w:rPr>
      </w:pPr>
    </w:p>
    <w:p w14:paraId="32C41852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jc w:val="both"/>
        <w:rPr>
          <w:color w:val="44546A" w:themeColor="text2"/>
        </w:rPr>
      </w:pPr>
    </w:p>
    <w:p w14:paraId="54FE6A75" w14:textId="4A9E096B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jc w:val="both"/>
        <w:rPr>
          <w:color w:val="44546A" w:themeColor="text2"/>
        </w:rPr>
      </w:pPr>
      <w:r w:rsidRPr="00D96484">
        <w:rPr>
          <w:color w:val="44546A" w:themeColor="text2"/>
        </w:rPr>
        <w:br/>
      </w:r>
    </w:p>
    <w:p w14:paraId="2BDC2EAE" w14:textId="38F796C3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jc w:val="both"/>
        <w:rPr>
          <w:color w:val="44546A" w:themeColor="text2"/>
        </w:rPr>
      </w:pPr>
    </w:p>
    <w:p w14:paraId="0D5F909B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jc w:val="both"/>
        <w:rPr>
          <w:color w:val="44546A" w:themeColor="text2"/>
        </w:rPr>
      </w:pPr>
    </w:p>
    <w:p w14:paraId="3F46F354" w14:textId="77777777" w:rsidR="00A94609" w:rsidRPr="00D96484" w:rsidRDefault="00A94609" w:rsidP="00A94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Pensiline Fotovoltaiche</w:t>
      </w:r>
      <w:r w:rsidRPr="00D96484">
        <w:rPr>
          <w:rFonts w:eastAsia="Google Sans"/>
          <w:color w:val="44546A" w:themeColor="text2"/>
        </w:rPr>
        <w:t>: Integrazione di strutture in alluminio per parcheggi, abilitate alla ricarica di auto elettriche e personalizzabili con teli in PVC.</w:t>
      </w:r>
      <w:r w:rsidRPr="00D96484">
        <w:rPr>
          <w:color w:val="44546A" w:themeColor="text2"/>
        </w:rPr>
        <w:br/>
      </w:r>
    </w:p>
    <w:p w14:paraId="1FF1BBC7" w14:textId="27E5C24E" w:rsidR="00A94609" w:rsidRPr="00D96484" w:rsidRDefault="00A94609" w:rsidP="00A94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Smart Building</w:t>
      </w:r>
      <w:r w:rsidRPr="00D96484">
        <w:rPr>
          <w:rFonts w:eastAsia="Google Sans"/>
          <w:color w:val="44546A" w:themeColor="text2"/>
        </w:rPr>
        <w:t>: Interfacce architettoniche che rendano visibile il "battito" energetico dell'azienda.</w:t>
      </w:r>
    </w:p>
    <w:p w14:paraId="68316935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jc w:val="both"/>
        <w:rPr>
          <w:color w:val="44546A" w:themeColor="text2"/>
        </w:rPr>
      </w:pPr>
    </w:p>
    <w:p w14:paraId="17BD881A" w14:textId="263B5504" w:rsidR="00A94609" w:rsidRPr="00D96484" w:rsidRDefault="00A94609" w:rsidP="00A94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Spazi esterni collettivi</w:t>
      </w:r>
      <w:r w:rsidRPr="00D96484">
        <w:rPr>
          <w:color w:val="44546A" w:themeColor="text2"/>
        </w:rPr>
        <w:t>: sistemazioni esterne tese al miglioramento della vivibilità e condivisione di spazi da parte dei lavoratori.</w:t>
      </w:r>
      <w:r w:rsidRPr="00D96484">
        <w:rPr>
          <w:color w:val="44546A" w:themeColor="text2"/>
        </w:rPr>
        <w:br/>
      </w:r>
    </w:p>
    <w:p w14:paraId="2630AECC" w14:textId="77777777" w:rsidR="00A94609" w:rsidRPr="00D96484" w:rsidRDefault="00A94609" w:rsidP="00A94609">
      <w:pPr>
        <w:pStyle w:val="Paragrafoelenco"/>
        <w:rPr>
          <w:color w:val="44546A" w:themeColor="text2"/>
        </w:rPr>
      </w:pPr>
    </w:p>
    <w:p w14:paraId="4D39319A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rPr>
          <w:color w:val="44546A" w:themeColor="text2"/>
        </w:rPr>
      </w:pPr>
    </w:p>
    <w:p w14:paraId="5D1B19DF" w14:textId="77777777" w:rsidR="00A94609" w:rsidRPr="00D96484" w:rsidRDefault="00A94609" w:rsidP="00A94609">
      <w:pPr>
        <w:pStyle w:val="Titolo2"/>
        <w:spacing w:before="0"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color w:val="44546A" w:themeColor="text2"/>
          <w:sz w:val="22"/>
          <w:szCs w:val="22"/>
        </w:rPr>
        <w:t>ART. 3 – REQUISITI DI PARTECIPAZIONE E VINCOLO TERRITORIALE</w:t>
      </w:r>
    </w:p>
    <w:p w14:paraId="73BC6456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3.1. Soggetti Ammessi</w:t>
      </w:r>
      <w:r w:rsidRPr="00D96484">
        <w:rPr>
          <w:rFonts w:eastAsia="Google Sans"/>
          <w:color w:val="44546A" w:themeColor="text2"/>
        </w:rPr>
        <w:t xml:space="preserve"> Possono partecipare professionisti iscritti agli Albi, società di ingegneria, STP e lavoratori subordinati abilitati (esclusi i dipendenti della </w:t>
      </w:r>
      <w:proofErr w:type="spellStart"/>
      <w:r w:rsidRPr="00D96484">
        <w:rPr>
          <w:rFonts w:eastAsia="Google Sans"/>
          <w:color w:val="44546A" w:themeColor="text2"/>
        </w:rPr>
        <w:t>Drorys</w:t>
      </w:r>
      <w:proofErr w:type="spellEnd"/>
      <w:r w:rsidRPr="00D96484">
        <w:rPr>
          <w:rFonts w:eastAsia="Google Sans"/>
          <w:color w:val="44546A" w:themeColor="text2"/>
        </w:rPr>
        <w:t xml:space="preserve"> </w:t>
      </w:r>
      <w:proofErr w:type="spellStart"/>
      <w:r w:rsidRPr="00D96484">
        <w:rPr>
          <w:rFonts w:eastAsia="Google Sans"/>
          <w:color w:val="44546A" w:themeColor="text2"/>
        </w:rPr>
        <w:t>Packlist</w:t>
      </w:r>
      <w:proofErr w:type="spellEnd"/>
      <w:r w:rsidRPr="00D96484">
        <w:rPr>
          <w:rFonts w:eastAsia="Google Sans"/>
          <w:color w:val="44546A" w:themeColor="text2"/>
        </w:rPr>
        <w:t>).</w:t>
      </w:r>
    </w:p>
    <w:p w14:paraId="1D623FC4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"/>
          <w:color w:val="44546A" w:themeColor="text2"/>
        </w:rPr>
      </w:pPr>
    </w:p>
    <w:p w14:paraId="5D34F3E1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b/>
          <w:bCs/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3.2. Clausola Territoriale Obbligatoria</w:t>
      </w:r>
    </w:p>
    <w:p w14:paraId="537CE8FC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A pena di esclusione</w:t>
      </w:r>
      <w:r w:rsidRPr="00D96484">
        <w:rPr>
          <w:rFonts w:eastAsia="Google Sans"/>
          <w:color w:val="44546A" w:themeColor="text2"/>
        </w:rPr>
        <w:t xml:space="preserve">, il partecipante (o il mandatario del raggruppamento) deve risultare regolarmente </w:t>
      </w:r>
      <w:r w:rsidRPr="00D96484">
        <w:rPr>
          <w:rFonts w:eastAsia="Google Sans"/>
          <w:b/>
          <w:bCs/>
          <w:color w:val="44546A" w:themeColor="text2"/>
        </w:rPr>
        <w:t>iscritto all’Albo Professionale di uno degli Ordini provinciali della Regione Campania</w:t>
      </w:r>
      <w:r w:rsidRPr="00D96484">
        <w:rPr>
          <w:rFonts w:eastAsia="Google Sans"/>
          <w:color w:val="44546A" w:themeColor="text2"/>
        </w:rPr>
        <w:t>. Tale clausola è finalizzata a valorizzare le competenze locali in stretta relazione con il contesto territoriale di intervento.</w:t>
      </w:r>
    </w:p>
    <w:p w14:paraId="7A02FB1D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"/>
          <w:color w:val="44546A" w:themeColor="text2"/>
        </w:rPr>
      </w:pPr>
    </w:p>
    <w:p w14:paraId="43A1F5DD" w14:textId="77777777" w:rsidR="00D96484" w:rsidRDefault="00D96484" w:rsidP="00A94609">
      <w:pPr>
        <w:pStyle w:val="Titolo2"/>
        <w:spacing w:before="0" w:line="275" w:lineRule="auto"/>
        <w:jc w:val="both"/>
        <w:rPr>
          <w:rFonts w:eastAsia="Google Sans"/>
          <w:color w:val="44546A" w:themeColor="text2"/>
          <w:sz w:val="22"/>
          <w:szCs w:val="22"/>
        </w:rPr>
      </w:pPr>
    </w:p>
    <w:p w14:paraId="5F687321" w14:textId="37620231" w:rsidR="00A94609" w:rsidRPr="00D96484" w:rsidRDefault="00A94609" w:rsidP="00A94609">
      <w:pPr>
        <w:pStyle w:val="Titolo2"/>
        <w:spacing w:before="0" w:line="275" w:lineRule="auto"/>
        <w:jc w:val="both"/>
        <w:rPr>
          <w:rFonts w:eastAsia="Google Sans"/>
          <w:color w:val="44546A" w:themeColor="text2"/>
          <w:sz w:val="22"/>
          <w:szCs w:val="22"/>
        </w:rPr>
      </w:pPr>
      <w:r w:rsidRPr="00D96484">
        <w:rPr>
          <w:rFonts w:eastAsia="Google Sans"/>
          <w:color w:val="44546A" w:themeColor="text2"/>
          <w:sz w:val="22"/>
          <w:szCs w:val="22"/>
        </w:rPr>
        <w:t>ART. 4 – PROCEDURA DI ANONIMATO E TRASMISSIONE</w:t>
      </w:r>
    </w:p>
    <w:p w14:paraId="4515B2E6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4.1. Garanzia dell'Anonimato</w:t>
      </w:r>
      <w:r w:rsidRPr="00D96484">
        <w:rPr>
          <w:rFonts w:eastAsia="Google Sans"/>
          <w:color w:val="44546A" w:themeColor="text2"/>
        </w:rPr>
        <w:t xml:space="preserve"> È vietato inserire nomi, loghi o segni di riconoscimento negli elaborati tecnici. Il RUP assegnerà un </w:t>
      </w:r>
      <w:r w:rsidRPr="00D96484">
        <w:rPr>
          <w:rFonts w:eastAsia="Google Sans"/>
          <w:b/>
          <w:bCs/>
          <w:color w:val="44546A" w:themeColor="text2"/>
        </w:rPr>
        <w:t>Motto (Codice)</w:t>
      </w:r>
      <w:r w:rsidRPr="00D96484">
        <w:rPr>
          <w:rFonts w:eastAsia="Google Sans"/>
          <w:color w:val="44546A" w:themeColor="text2"/>
        </w:rPr>
        <w:t xml:space="preserve"> ai progetti per garantire l'imparzialità della Commissione.</w:t>
      </w:r>
    </w:p>
    <w:p w14:paraId="6C7CE955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"/>
          <w:color w:val="44546A" w:themeColor="text2"/>
        </w:rPr>
      </w:pPr>
    </w:p>
    <w:p w14:paraId="0F106289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4.2. Modalità di Invio</w:t>
      </w:r>
      <w:r w:rsidRPr="00D96484">
        <w:rPr>
          <w:rFonts w:eastAsia="Google Sans"/>
          <w:color w:val="44546A" w:themeColor="text2"/>
        </w:rPr>
        <w:t xml:space="preserve"> La trasmissione avverrà esclusivamente via PEC tramite </w:t>
      </w:r>
      <w:r w:rsidRPr="00D96484">
        <w:rPr>
          <w:rFonts w:eastAsia="Google Sans"/>
          <w:b/>
          <w:bCs/>
          <w:color w:val="44546A" w:themeColor="text2"/>
        </w:rPr>
        <w:t>link di download telematico</w:t>
      </w:r>
      <w:r w:rsidRPr="00D96484">
        <w:rPr>
          <w:rFonts w:eastAsia="Google Sans"/>
          <w:color w:val="44546A" w:themeColor="text2"/>
        </w:rPr>
        <w:t>. Il RUP custodirà separatamente la Documentazione Amministrativa e la Proposta Progettuale.</w:t>
      </w:r>
    </w:p>
    <w:p w14:paraId="02A0D09B" w14:textId="368E51BC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"/>
          <w:color w:val="44546A" w:themeColor="text2"/>
        </w:rPr>
      </w:pPr>
    </w:p>
    <w:p w14:paraId="0CE26188" w14:textId="63C455C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"/>
          <w:color w:val="44546A" w:themeColor="text2"/>
        </w:rPr>
      </w:pPr>
    </w:p>
    <w:p w14:paraId="7E1B960C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"/>
          <w:color w:val="44546A" w:themeColor="text2"/>
        </w:rPr>
      </w:pPr>
    </w:p>
    <w:p w14:paraId="6E6F6B93" w14:textId="77777777" w:rsidR="00A94609" w:rsidRPr="00D96484" w:rsidRDefault="00A94609" w:rsidP="00A94609">
      <w:pPr>
        <w:pStyle w:val="Titolo2"/>
        <w:spacing w:before="0" w:line="275" w:lineRule="auto"/>
        <w:jc w:val="both"/>
        <w:rPr>
          <w:rFonts w:eastAsia="Google Sans"/>
          <w:color w:val="44546A" w:themeColor="text2"/>
          <w:sz w:val="22"/>
          <w:szCs w:val="22"/>
        </w:rPr>
      </w:pPr>
      <w:r w:rsidRPr="00D96484">
        <w:rPr>
          <w:rFonts w:eastAsia="Google Sans"/>
          <w:color w:val="44546A" w:themeColor="text2"/>
          <w:sz w:val="22"/>
          <w:szCs w:val="22"/>
        </w:rPr>
        <w:t>ART. 5 – ELABORATI PROGETTUALI RICHIESTI</w:t>
      </w:r>
    </w:p>
    <w:p w14:paraId="437ED91F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color w:val="44546A" w:themeColor="text2"/>
        </w:rPr>
        <w:t>I concorrenti dovranno trasmettere, a pena di esclusione, i seguenti file digitali:</w:t>
      </w:r>
    </w:p>
    <w:p w14:paraId="5A2A01C2" w14:textId="77777777" w:rsidR="00D96484" w:rsidRDefault="00A94609" w:rsidP="00A946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Relazione Tecnico-Illustrativa</w:t>
      </w:r>
      <w:r w:rsidRPr="00D96484">
        <w:rPr>
          <w:rFonts w:eastAsia="Google Sans"/>
          <w:color w:val="44546A" w:themeColor="text2"/>
        </w:rPr>
        <w:t>: Massimo 4 facciate A4 (</w:t>
      </w:r>
      <w:proofErr w:type="spellStart"/>
      <w:r w:rsidRPr="00D96484">
        <w:rPr>
          <w:rFonts w:eastAsia="Google Sans"/>
          <w:color w:val="44546A" w:themeColor="text2"/>
        </w:rPr>
        <w:t>Arial</w:t>
      </w:r>
      <w:proofErr w:type="spellEnd"/>
      <w:r w:rsidRPr="00D96484">
        <w:rPr>
          <w:rFonts w:eastAsia="Google Sans"/>
          <w:color w:val="44546A" w:themeColor="text2"/>
        </w:rPr>
        <w:t xml:space="preserve"> 11, </w:t>
      </w:r>
      <w:proofErr w:type="spellStart"/>
      <w:r w:rsidRPr="00D96484">
        <w:rPr>
          <w:rFonts w:eastAsia="Google Sans"/>
          <w:color w:val="44546A" w:themeColor="text2"/>
        </w:rPr>
        <w:t>max</w:t>
      </w:r>
      <w:proofErr w:type="spellEnd"/>
      <w:r w:rsidRPr="00D96484">
        <w:rPr>
          <w:rFonts w:eastAsia="Google Sans"/>
          <w:color w:val="44546A" w:themeColor="text2"/>
        </w:rPr>
        <w:t xml:space="preserve"> 8.000 battute). Il documento </w:t>
      </w:r>
      <w:proofErr w:type="gramStart"/>
      <w:r w:rsidRPr="00D96484">
        <w:rPr>
          <w:rFonts w:eastAsia="Google Sans"/>
          <w:color w:val="44546A" w:themeColor="text2"/>
        </w:rPr>
        <w:t>deve  essere</w:t>
      </w:r>
      <w:proofErr w:type="gramEnd"/>
      <w:r w:rsidRPr="00D96484">
        <w:rPr>
          <w:rFonts w:eastAsia="Google Sans"/>
          <w:color w:val="44546A" w:themeColor="text2"/>
        </w:rPr>
        <w:t xml:space="preserve">  </w:t>
      </w:r>
      <w:r w:rsidRPr="00D96484">
        <w:rPr>
          <w:rFonts w:eastAsia="Google Sans"/>
          <w:b/>
          <w:bCs/>
          <w:color w:val="44546A" w:themeColor="text2"/>
        </w:rPr>
        <w:t>esclusivamente testuale</w:t>
      </w:r>
      <w:r w:rsidRPr="00D96484">
        <w:rPr>
          <w:rFonts w:eastAsia="Google Sans"/>
          <w:color w:val="44546A" w:themeColor="text2"/>
        </w:rPr>
        <w:t xml:space="preserve">:   non  sono  ammesse immagini o  schemi grafici di alcun tipo. </w:t>
      </w:r>
      <w:r w:rsidRPr="00D96484">
        <w:rPr>
          <w:color w:val="44546A" w:themeColor="text2"/>
        </w:rPr>
        <w:t xml:space="preserve"> </w:t>
      </w:r>
    </w:p>
    <w:p w14:paraId="4218B74F" w14:textId="77777777" w:rsidR="00D96484" w:rsidRDefault="00D96484" w:rsidP="00D964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rPr>
          <w:rFonts w:eastAsia="Google Sans"/>
          <w:b/>
          <w:bCs/>
          <w:color w:val="44546A" w:themeColor="text2"/>
        </w:rPr>
      </w:pPr>
    </w:p>
    <w:p w14:paraId="4B4338BA" w14:textId="77777777" w:rsidR="00D96484" w:rsidRDefault="00D96484" w:rsidP="00D964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rPr>
          <w:color w:val="44546A" w:themeColor="text2"/>
        </w:rPr>
      </w:pPr>
    </w:p>
    <w:p w14:paraId="745C4842" w14:textId="45476692" w:rsidR="00A94609" w:rsidRPr="00D96484" w:rsidRDefault="00A94609" w:rsidP="00D964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  <w:r w:rsidRPr="00D96484">
        <w:rPr>
          <w:color w:val="44546A" w:themeColor="text2"/>
        </w:rPr>
        <w:lastRenderedPageBreak/>
        <w:br/>
      </w:r>
    </w:p>
    <w:p w14:paraId="134D0F8E" w14:textId="34AE9762" w:rsidR="00A94609" w:rsidRPr="00D96484" w:rsidRDefault="00A94609" w:rsidP="00A946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Tavola Grafica Unica</w:t>
      </w:r>
      <w:r w:rsidRPr="00D96484">
        <w:rPr>
          <w:rFonts w:eastAsia="Google Sans"/>
          <w:color w:val="44546A" w:themeColor="text2"/>
        </w:rPr>
        <w:t xml:space="preserve">: Formato A1 (orizzontale) contenente piante, prospetti, sezioni ambientali e render </w:t>
      </w:r>
      <w:proofErr w:type="spellStart"/>
      <w:r w:rsidRPr="00D96484">
        <w:rPr>
          <w:rFonts w:eastAsia="Google Sans"/>
          <w:color w:val="44546A" w:themeColor="text2"/>
        </w:rPr>
        <w:t>fotorealistici</w:t>
      </w:r>
      <w:proofErr w:type="spellEnd"/>
      <w:r w:rsidRPr="00D96484">
        <w:rPr>
          <w:rFonts w:eastAsia="Google Sans"/>
          <w:color w:val="44546A" w:themeColor="text2"/>
        </w:rPr>
        <w:t xml:space="preserve"> che illustrino l'integrazione delle tecnologie proposte.</w:t>
      </w:r>
      <w:r w:rsidRPr="00D96484">
        <w:rPr>
          <w:color w:val="44546A" w:themeColor="text2"/>
        </w:rPr>
        <w:br/>
      </w:r>
    </w:p>
    <w:p w14:paraId="28F26B30" w14:textId="7706C915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44546A" w:themeColor="text2"/>
        </w:rPr>
      </w:pPr>
    </w:p>
    <w:p w14:paraId="5A5D10C1" w14:textId="3F58AC22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44546A" w:themeColor="text2"/>
        </w:rPr>
      </w:pPr>
    </w:p>
    <w:p w14:paraId="0E5A6C91" w14:textId="77777777" w:rsidR="00A94609" w:rsidRPr="00D96484" w:rsidRDefault="00A94609" w:rsidP="00A94609">
      <w:pPr>
        <w:pStyle w:val="Titolo2"/>
        <w:spacing w:before="0" w:line="275" w:lineRule="auto"/>
        <w:jc w:val="both"/>
        <w:rPr>
          <w:rFonts w:eastAsia="Google Sans"/>
          <w:color w:val="44546A" w:themeColor="text2"/>
          <w:sz w:val="22"/>
          <w:szCs w:val="22"/>
        </w:rPr>
      </w:pPr>
      <w:r w:rsidRPr="00D96484">
        <w:rPr>
          <w:rFonts w:eastAsia="Google Sans"/>
          <w:color w:val="44546A" w:themeColor="text2"/>
          <w:sz w:val="22"/>
          <w:szCs w:val="22"/>
        </w:rPr>
        <w:t>ART. 6 – COMMISSIONE E CRITERI DI VALUTAZIONE</w:t>
      </w:r>
    </w:p>
    <w:p w14:paraId="3E03B012" w14:textId="6FFA7214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color w:val="44546A" w:themeColor="text2"/>
        </w:rPr>
        <w:t xml:space="preserve">La Commissione sarà composta da 3 membri, tra cui </w:t>
      </w:r>
      <w:r w:rsidR="00FD615A">
        <w:rPr>
          <w:rFonts w:eastAsia="Google Sans"/>
          <w:color w:val="44546A" w:themeColor="text2"/>
        </w:rPr>
        <w:t>due</w:t>
      </w:r>
      <w:r w:rsidRPr="00D96484">
        <w:rPr>
          <w:rFonts w:eastAsia="Google Sans"/>
          <w:color w:val="44546A" w:themeColor="text2"/>
        </w:rPr>
        <w:t xml:space="preserve"> rappresentant</w:t>
      </w:r>
      <w:r w:rsidR="00FD615A">
        <w:rPr>
          <w:rFonts w:eastAsia="Google Sans"/>
          <w:color w:val="44546A" w:themeColor="text2"/>
        </w:rPr>
        <w:t>i</w:t>
      </w:r>
      <w:r w:rsidRPr="00D96484">
        <w:rPr>
          <w:rFonts w:eastAsia="Google Sans"/>
          <w:color w:val="44546A" w:themeColor="text2"/>
        </w:rPr>
        <w:t xml:space="preserve"> dell'azienda e un esperto designato dall'Ordine degli Architetti di Salerno. Il punteggio (</w:t>
      </w:r>
      <w:proofErr w:type="spellStart"/>
      <w:r w:rsidRPr="00D96484">
        <w:rPr>
          <w:rFonts w:eastAsia="Google Sans"/>
          <w:color w:val="44546A" w:themeColor="text2"/>
        </w:rPr>
        <w:t>max</w:t>
      </w:r>
      <w:proofErr w:type="spellEnd"/>
      <w:r w:rsidRPr="00D96484">
        <w:rPr>
          <w:rFonts w:eastAsia="Google Sans"/>
          <w:color w:val="44546A" w:themeColor="text2"/>
        </w:rPr>
        <w:t xml:space="preserve"> 100) sarà così ripartito:</w:t>
      </w:r>
    </w:p>
    <w:p w14:paraId="2E8681A0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"/>
          <w:color w:val="44546A" w:themeColor="text2"/>
        </w:rPr>
      </w:pPr>
    </w:p>
    <w:p w14:paraId="79279DDB" w14:textId="77777777" w:rsidR="00A94609" w:rsidRPr="00D96484" w:rsidRDefault="00A94609" w:rsidP="00A946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Qualità Architettonica e Paesaggistica</w:t>
      </w:r>
      <w:r w:rsidRPr="00D96484">
        <w:rPr>
          <w:rFonts w:eastAsia="Google Sans"/>
          <w:color w:val="44546A" w:themeColor="text2"/>
        </w:rPr>
        <w:t>: 40 punti.</w:t>
      </w:r>
      <w:r w:rsidRPr="00D96484">
        <w:rPr>
          <w:color w:val="44546A" w:themeColor="text2"/>
        </w:rPr>
        <w:br/>
      </w:r>
    </w:p>
    <w:p w14:paraId="7FDFC660" w14:textId="77777777" w:rsidR="00A94609" w:rsidRPr="00D96484" w:rsidRDefault="00A94609" w:rsidP="00A946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Qualità Ambientale (Green Deal/Industria 5.0)</w:t>
      </w:r>
      <w:r w:rsidRPr="00D96484">
        <w:rPr>
          <w:rFonts w:eastAsia="Google Sans"/>
          <w:color w:val="44546A" w:themeColor="text2"/>
        </w:rPr>
        <w:t>: 20 punti.</w:t>
      </w:r>
      <w:r w:rsidRPr="00D96484">
        <w:rPr>
          <w:color w:val="44546A" w:themeColor="text2"/>
        </w:rPr>
        <w:br/>
      </w:r>
    </w:p>
    <w:p w14:paraId="46CA5FC3" w14:textId="77777777" w:rsidR="00A94609" w:rsidRPr="00D96484" w:rsidRDefault="00A94609" w:rsidP="00A946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Soluzioni Tecnologiche e Innovazione (es. Light Tunnel)</w:t>
      </w:r>
      <w:r w:rsidRPr="00D96484">
        <w:rPr>
          <w:rFonts w:eastAsia="Google Sans"/>
          <w:color w:val="44546A" w:themeColor="text2"/>
        </w:rPr>
        <w:t>: 10 punti.</w:t>
      </w:r>
    </w:p>
    <w:p w14:paraId="5CC8A4AA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rPr>
          <w:color w:val="44546A" w:themeColor="text2"/>
        </w:rPr>
      </w:pPr>
    </w:p>
    <w:p w14:paraId="1861EC05" w14:textId="77777777" w:rsidR="00A94609" w:rsidRPr="00D96484" w:rsidRDefault="00A94609" w:rsidP="00A946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Qualità dello spazio per il benessere dei lavoratori</w:t>
      </w:r>
      <w:r w:rsidRPr="00D96484">
        <w:rPr>
          <w:rFonts w:eastAsia="Google Sans"/>
          <w:color w:val="44546A" w:themeColor="text2"/>
        </w:rPr>
        <w:t>: 20 punti.</w:t>
      </w:r>
      <w:r w:rsidRPr="00D96484">
        <w:rPr>
          <w:color w:val="44546A" w:themeColor="text2"/>
        </w:rPr>
        <w:br/>
      </w:r>
    </w:p>
    <w:p w14:paraId="7FA8429F" w14:textId="77777777" w:rsidR="00A94609" w:rsidRPr="00D96484" w:rsidRDefault="00A94609" w:rsidP="00A946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Fattibilità Tecnico-Economica</w:t>
      </w:r>
      <w:r w:rsidRPr="00D96484">
        <w:rPr>
          <w:rFonts w:eastAsia="Google Sans"/>
          <w:color w:val="44546A" w:themeColor="text2"/>
        </w:rPr>
        <w:t>: 10 punti.</w:t>
      </w:r>
      <w:r w:rsidRPr="00D96484">
        <w:rPr>
          <w:color w:val="44546A" w:themeColor="text2"/>
        </w:rPr>
        <w:br/>
      </w:r>
    </w:p>
    <w:p w14:paraId="7510C08D" w14:textId="77777777" w:rsidR="00A94609" w:rsidRPr="00D96484" w:rsidRDefault="00A94609" w:rsidP="00A946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  <w:r w:rsidRPr="00D96484">
        <w:rPr>
          <w:rFonts w:eastAsia="Google Sans"/>
          <w:b/>
          <w:iCs/>
          <w:color w:val="44546A" w:themeColor="text2"/>
        </w:rPr>
        <w:t xml:space="preserve">Soglia minima per l'accesso ai premi: </w:t>
      </w:r>
      <w:r w:rsidRPr="00D96484">
        <w:rPr>
          <w:rFonts w:eastAsia="Google Sans"/>
          <w:i/>
          <w:iCs/>
          <w:color w:val="44546A" w:themeColor="text2"/>
        </w:rPr>
        <w:t>60/100</w:t>
      </w:r>
      <w:r w:rsidRPr="00D96484">
        <w:rPr>
          <w:rFonts w:eastAsia="Google Sans"/>
          <w:color w:val="44546A" w:themeColor="text2"/>
        </w:rPr>
        <w:t>.</w:t>
      </w:r>
    </w:p>
    <w:p w14:paraId="1EB7C58E" w14:textId="035833A3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rPr>
          <w:color w:val="44546A" w:themeColor="text2"/>
        </w:rPr>
      </w:pPr>
    </w:p>
    <w:p w14:paraId="69C1AFA1" w14:textId="626FE3F3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rPr>
          <w:color w:val="44546A" w:themeColor="text2"/>
        </w:rPr>
      </w:pPr>
    </w:p>
    <w:p w14:paraId="7988C8E6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rPr>
          <w:color w:val="44546A" w:themeColor="text2"/>
        </w:rPr>
      </w:pPr>
    </w:p>
    <w:p w14:paraId="0B229475" w14:textId="77777777" w:rsidR="00A94609" w:rsidRPr="00D96484" w:rsidRDefault="00A94609" w:rsidP="00A94609">
      <w:pPr>
        <w:pStyle w:val="Titolo2"/>
        <w:spacing w:before="0" w:line="275" w:lineRule="auto"/>
        <w:jc w:val="both"/>
        <w:rPr>
          <w:rFonts w:eastAsia="Google Sans"/>
          <w:color w:val="44546A" w:themeColor="text2"/>
          <w:sz w:val="22"/>
          <w:szCs w:val="22"/>
        </w:rPr>
      </w:pPr>
      <w:r w:rsidRPr="00D96484">
        <w:rPr>
          <w:rFonts w:eastAsia="Google Sans"/>
          <w:color w:val="44546A" w:themeColor="text2"/>
          <w:sz w:val="22"/>
          <w:szCs w:val="22"/>
        </w:rPr>
        <w:t>ART. 7 – VALORE DELL’OPERA</w:t>
      </w:r>
    </w:p>
    <w:p w14:paraId="48A60500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b/>
          <w:color w:val="44546A" w:themeColor="text2"/>
        </w:rPr>
      </w:pPr>
      <w:r w:rsidRPr="00D96484">
        <w:rPr>
          <w:rFonts w:eastAsia="Google Sans"/>
          <w:color w:val="44546A" w:themeColor="text2"/>
        </w:rPr>
        <w:t xml:space="preserve">7.1 Si stima un preventivo valore dell’opera totale pari a circa: </w:t>
      </w:r>
      <w:r w:rsidRPr="00D96484">
        <w:rPr>
          <w:rFonts w:eastAsia="Google Sans"/>
          <w:b/>
          <w:color w:val="44546A" w:themeColor="text2"/>
        </w:rPr>
        <w:t>€ 1.000.000,00</w:t>
      </w:r>
    </w:p>
    <w:p w14:paraId="241AA931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color w:val="44546A" w:themeColor="text2"/>
        </w:rPr>
        <w:t>7.2 In questa fase non è prevista una ripartizione del valore dell’opera in base alle categorie di lavorazioni.</w:t>
      </w:r>
    </w:p>
    <w:p w14:paraId="071F9A52" w14:textId="77777777" w:rsidR="00A94609" w:rsidRPr="00D96484" w:rsidRDefault="00A94609" w:rsidP="00A94609">
      <w:pPr>
        <w:pStyle w:val="Titolo2"/>
        <w:spacing w:before="0" w:line="275" w:lineRule="auto"/>
        <w:jc w:val="both"/>
        <w:rPr>
          <w:color w:val="44546A" w:themeColor="text2"/>
        </w:rPr>
      </w:pPr>
    </w:p>
    <w:p w14:paraId="2DD98EA0" w14:textId="62E65F0E" w:rsidR="00A94609" w:rsidRPr="00D96484" w:rsidRDefault="00A94609" w:rsidP="00A94609">
      <w:pPr>
        <w:pStyle w:val="Titolo2"/>
        <w:spacing w:before="0" w:line="275" w:lineRule="auto"/>
        <w:jc w:val="both"/>
        <w:rPr>
          <w:rFonts w:eastAsia="Google Sans"/>
          <w:color w:val="44546A" w:themeColor="text2"/>
          <w:sz w:val="22"/>
          <w:szCs w:val="22"/>
        </w:rPr>
      </w:pPr>
      <w:r w:rsidRPr="00D96484">
        <w:rPr>
          <w:rFonts w:eastAsia="Google Sans"/>
          <w:color w:val="44546A" w:themeColor="text2"/>
          <w:sz w:val="22"/>
          <w:szCs w:val="22"/>
        </w:rPr>
        <w:t>ART. 8 – PREMI E SISTEMA DI VOTO:</w:t>
      </w:r>
    </w:p>
    <w:p w14:paraId="0E415117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color w:val="44546A" w:themeColor="text2"/>
        </w:rPr>
        <w:t xml:space="preserve">8.1. Montepremi Complessivo: </w:t>
      </w:r>
      <w:r w:rsidRPr="00D96484">
        <w:rPr>
          <w:rFonts w:eastAsia="Google Sans"/>
          <w:b/>
          <w:color w:val="44546A" w:themeColor="text2"/>
        </w:rPr>
        <w:t>€ 10.000,00</w:t>
      </w:r>
    </w:p>
    <w:p w14:paraId="7AD0A556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"/>
          <w:color w:val="44546A" w:themeColor="text2"/>
        </w:rPr>
      </w:pPr>
    </w:p>
    <w:p w14:paraId="3163C71C" w14:textId="14016293" w:rsidR="00A94609" w:rsidRPr="00D96484" w:rsidRDefault="00A94609" w:rsidP="00A946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Primi</w:t>
      </w:r>
      <w:r w:rsidRPr="00D96484">
        <w:rPr>
          <w:rFonts w:eastAsia="Google Sans"/>
          <w:color w:val="44546A" w:themeColor="text2"/>
        </w:rPr>
        <w:t>: I primi 3 progetti selezionati riceveranno un premio così distinto:</w:t>
      </w:r>
    </w:p>
    <w:p w14:paraId="142F62D1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jc w:val="both"/>
        <w:rPr>
          <w:color w:val="44546A" w:themeColor="text2"/>
        </w:rPr>
      </w:pPr>
    </w:p>
    <w:p w14:paraId="5BDA422E" w14:textId="2A06ABAB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276"/>
        <w:rPr>
          <w:rFonts w:eastAsia="Google Sans"/>
          <w:b/>
          <w:color w:val="44546A" w:themeColor="text2"/>
        </w:rPr>
      </w:pPr>
      <w:r w:rsidRPr="00D96484">
        <w:rPr>
          <w:rFonts w:eastAsia="Google Sans"/>
          <w:color w:val="44546A" w:themeColor="text2"/>
        </w:rPr>
        <w:t xml:space="preserve">1° posto: </w:t>
      </w:r>
      <w:r w:rsidRPr="00D96484">
        <w:rPr>
          <w:rFonts w:eastAsia="Google Sans"/>
          <w:b/>
          <w:color w:val="44546A" w:themeColor="text2"/>
        </w:rPr>
        <w:t>€ 6.000,00.</w:t>
      </w:r>
      <w:r w:rsidRPr="00D96484">
        <w:rPr>
          <w:rFonts w:eastAsia="Google Sans"/>
          <w:color w:val="44546A" w:themeColor="text2"/>
        </w:rPr>
        <w:br/>
        <w:t xml:space="preserve">2° posto: </w:t>
      </w:r>
      <w:r w:rsidRPr="00D96484">
        <w:rPr>
          <w:rFonts w:eastAsia="Google Sans"/>
          <w:b/>
          <w:color w:val="44546A" w:themeColor="text2"/>
        </w:rPr>
        <w:t>€ 2.500,00</w:t>
      </w:r>
    </w:p>
    <w:p w14:paraId="5F29C3B6" w14:textId="29D45E22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276"/>
        <w:rPr>
          <w:rFonts w:eastAsia="Google Sans"/>
          <w:b/>
          <w:color w:val="44546A" w:themeColor="text2"/>
        </w:rPr>
      </w:pPr>
      <w:r w:rsidRPr="00D96484">
        <w:rPr>
          <w:rFonts w:eastAsia="Google Sans"/>
          <w:color w:val="44546A" w:themeColor="text2"/>
        </w:rPr>
        <w:t xml:space="preserve">3° posto: </w:t>
      </w:r>
      <w:r w:rsidRPr="00D96484">
        <w:rPr>
          <w:rFonts w:eastAsia="Google Sans"/>
          <w:b/>
          <w:color w:val="44546A" w:themeColor="text2"/>
        </w:rPr>
        <w:t>€ 1.500,00</w:t>
      </w:r>
    </w:p>
    <w:p w14:paraId="2EBFED5A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276"/>
        <w:rPr>
          <w:rFonts w:eastAsia="Google Sans"/>
          <w:color w:val="44546A" w:themeColor="text2"/>
        </w:rPr>
      </w:pPr>
    </w:p>
    <w:p w14:paraId="604617A0" w14:textId="0F9027C7" w:rsidR="00A94609" w:rsidRPr="00D96484" w:rsidRDefault="00A94609" w:rsidP="00A946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  <w:r w:rsidRPr="00D96484">
        <w:rPr>
          <w:rFonts w:eastAsia="Google Sans"/>
          <w:b/>
          <w:bCs/>
          <w:color w:val="44546A" w:themeColor="text2"/>
        </w:rPr>
        <w:t>Menzioni</w:t>
      </w:r>
      <w:r w:rsidRPr="00D96484">
        <w:rPr>
          <w:rFonts w:eastAsia="Google Sans"/>
          <w:color w:val="44546A" w:themeColor="text2"/>
        </w:rPr>
        <w:t>: Sono previste due menzioni d'onore per il 4° e 5° classificato.</w:t>
      </w:r>
      <w:r w:rsidRPr="00D96484">
        <w:rPr>
          <w:color w:val="44546A" w:themeColor="text2"/>
        </w:rPr>
        <w:br/>
      </w:r>
    </w:p>
    <w:p w14:paraId="2852B976" w14:textId="08A1B83D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rPr>
          <w:rFonts w:eastAsia="Google Sans"/>
          <w:b/>
          <w:bCs/>
          <w:color w:val="44546A" w:themeColor="text2"/>
        </w:rPr>
      </w:pPr>
    </w:p>
    <w:p w14:paraId="3F25C3DE" w14:textId="26D7EEF8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rPr>
          <w:color w:val="44546A" w:themeColor="text2"/>
        </w:rPr>
      </w:pPr>
    </w:p>
    <w:p w14:paraId="68C748DD" w14:textId="40434404" w:rsidR="00A94609" w:rsidRPr="00D96484" w:rsidRDefault="00A94609" w:rsidP="00D964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44546A" w:themeColor="text2"/>
        </w:rPr>
      </w:pPr>
    </w:p>
    <w:p w14:paraId="6F951F59" w14:textId="77777777" w:rsidR="00A94609" w:rsidRPr="00D96484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00"/>
        <w:rPr>
          <w:color w:val="44546A" w:themeColor="text2"/>
        </w:rPr>
      </w:pPr>
    </w:p>
    <w:p w14:paraId="7C052E49" w14:textId="77777777" w:rsidR="00A94609" w:rsidRPr="00D96484" w:rsidRDefault="00A94609" w:rsidP="00A94609">
      <w:pPr>
        <w:pStyle w:val="Titolo2"/>
        <w:spacing w:before="0" w:line="275" w:lineRule="auto"/>
        <w:jc w:val="both"/>
        <w:rPr>
          <w:rFonts w:eastAsia="Google Sans"/>
          <w:color w:val="44546A" w:themeColor="text2"/>
          <w:sz w:val="22"/>
          <w:szCs w:val="22"/>
        </w:rPr>
      </w:pPr>
      <w:r w:rsidRPr="00D96484">
        <w:rPr>
          <w:rFonts w:eastAsia="Google Sans"/>
          <w:color w:val="44546A" w:themeColor="text2"/>
          <w:sz w:val="22"/>
          <w:szCs w:val="22"/>
        </w:rPr>
        <w:t>ART. 9 – PROPRIETÀ INTELLETTUALE E DISPOSIZIONI FINALI</w:t>
      </w:r>
    </w:p>
    <w:p w14:paraId="6DCDAC90" w14:textId="2C62D8DE" w:rsidR="00A94609" w:rsidRDefault="00A94609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D96484">
        <w:rPr>
          <w:rFonts w:eastAsia="Google Sans"/>
          <w:color w:val="44546A" w:themeColor="text2"/>
        </w:rPr>
        <w:t xml:space="preserve">L'Ente Banditore acquisisce la proprietà di tutti i progetti partecipanti. Tali idee potranno costituire la base per i successivi livelli di progettazione o per la presentazione del Permesso di Costruire (PDC). Agli autori è riconosciuto il diritto morale d'autore. Per ogni controversia è competente il </w:t>
      </w:r>
      <w:r w:rsidRPr="00D96484">
        <w:rPr>
          <w:rFonts w:eastAsia="Google Sans"/>
          <w:b/>
          <w:bCs/>
          <w:color w:val="44546A" w:themeColor="text2"/>
        </w:rPr>
        <w:t>TAR Campania, sezione di Salerno</w:t>
      </w:r>
      <w:r w:rsidRPr="00D96484">
        <w:rPr>
          <w:rFonts w:eastAsia="Google Sans"/>
          <w:color w:val="44546A" w:themeColor="text2"/>
        </w:rPr>
        <w:t>.</w:t>
      </w:r>
    </w:p>
    <w:p w14:paraId="67269596" w14:textId="4E458CA2" w:rsidR="002D0963" w:rsidRDefault="002D0963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171717" w:themeColor="background2" w:themeShade="1A"/>
        </w:rPr>
      </w:pPr>
    </w:p>
    <w:p w14:paraId="5D310754" w14:textId="24407F65" w:rsidR="002D0963" w:rsidRDefault="002D0963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b/>
          <w:color w:val="44546A" w:themeColor="text2"/>
        </w:rPr>
      </w:pPr>
      <w:r w:rsidRPr="002D0963">
        <w:rPr>
          <w:rFonts w:eastAsia="Google Sans"/>
          <w:color w:val="44546A" w:themeColor="text2"/>
        </w:rPr>
        <w:t>Termine ultimo per la consegna degli elaborati è il</w:t>
      </w:r>
      <w:r>
        <w:rPr>
          <w:rFonts w:eastAsia="Google Sans"/>
          <w:b/>
          <w:color w:val="44546A" w:themeColor="text2"/>
        </w:rPr>
        <w:t xml:space="preserve"> 09/06/2026 ore 24,00</w:t>
      </w:r>
    </w:p>
    <w:p w14:paraId="66F0DAD7" w14:textId="38AB19EC" w:rsidR="002D0963" w:rsidRDefault="002D0963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  <w:r w:rsidRPr="002D0963">
        <w:rPr>
          <w:rFonts w:eastAsia="Google Sans"/>
          <w:color w:val="44546A" w:themeColor="text2"/>
        </w:rPr>
        <w:t>gli elaborati in gara dovranno essere spediti con tutti gli allegati necessari tramite PEC a:</w:t>
      </w:r>
    </w:p>
    <w:p w14:paraId="170E4F33" w14:textId="1B01108D" w:rsidR="002D0963" w:rsidRDefault="002D0963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44546A" w:themeColor="text2"/>
        </w:rPr>
      </w:pPr>
    </w:p>
    <w:p w14:paraId="12E4AD78" w14:textId="377DA0E1" w:rsidR="002D0963" w:rsidRPr="002D0963" w:rsidRDefault="002D0963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b/>
          <w:color w:val="44546A" w:themeColor="text2"/>
        </w:rPr>
      </w:pPr>
      <w:r w:rsidRPr="002D0963">
        <w:rPr>
          <w:rFonts w:eastAsia="Google Sans"/>
          <w:b/>
          <w:color w:val="44546A" w:themeColor="text2"/>
        </w:rPr>
        <w:t>concorsodroryspacklist@ultracert.it</w:t>
      </w:r>
      <w:bookmarkStart w:id="0" w:name="_GoBack"/>
      <w:bookmarkEnd w:id="0"/>
    </w:p>
    <w:p w14:paraId="051ED137" w14:textId="69919ADF" w:rsidR="00D54BFB" w:rsidRPr="00D54BFB" w:rsidRDefault="00D54BFB" w:rsidP="00A9460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/>
          <w:color w:val="171717" w:themeColor="background2" w:themeShade="1A"/>
        </w:rPr>
      </w:pPr>
    </w:p>
    <w:p w14:paraId="25D276E7" w14:textId="77777777" w:rsidR="00984C2A" w:rsidRPr="00D54BFB" w:rsidRDefault="00984C2A">
      <w:pPr>
        <w:rPr>
          <w:color w:val="171717" w:themeColor="background2" w:themeShade="1A"/>
          <w:sz w:val="18"/>
          <w:szCs w:val="18"/>
        </w:rPr>
      </w:pPr>
    </w:p>
    <w:p w14:paraId="6F4C6F47" w14:textId="77777777" w:rsidR="002A28DA" w:rsidRPr="00D96484" w:rsidRDefault="002A28DA">
      <w:pPr>
        <w:rPr>
          <w:color w:val="44546A" w:themeColor="text2"/>
          <w:sz w:val="18"/>
          <w:szCs w:val="18"/>
        </w:rPr>
      </w:pPr>
    </w:p>
    <w:sectPr w:rsidR="002A28DA" w:rsidRPr="00D96484" w:rsidSect="00F82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D8904" w14:textId="77777777" w:rsidR="00345FA9" w:rsidRDefault="00345FA9" w:rsidP="00B247A7">
      <w:r>
        <w:separator/>
      </w:r>
    </w:p>
  </w:endnote>
  <w:endnote w:type="continuationSeparator" w:id="0">
    <w:p w14:paraId="7A58310F" w14:textId="77777777" w:rsidR="00345FA9" w:rsidRDefault="00345FA9" w:rsidP="00B2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">
    <w:altName w:val="Calibri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C91DA" w14:textId="77777777" w:rsidR="00B247A7" w:rsidRDefault="00B247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61CF0" w14:textId="77777777" w:rsidR="00864F15" w:rsidRPr="00864F15" w:rsidRDefault="00864F15" w:rsidP="00864F15">
    <w:pPr>
      <w:pStyle w:val="Pidipagina"/>
      <w:jc w:val="center"/>
      <w:rPr>
        <w:rFonts w:ascii="Helvetica Neue" w:hAnsi="Helvetica Neue"/>
        <w:sz w:val="20"/>
        <w:szCs w:val="20"/>
        <w:lang w:val="en-US"/>
      </w:rPr>
    </w:pPr>
    <w:r w:rsidRPr="00864F15">
      <w:rPr>
        <w:rFonts w:ascii="Helvetica Neue" w:hAnsi="Helvetica Neue"/>
        <w:sz w:val="20"/>
        <w:szCs w:val="20"/>
        <w:lang w:val="en-US"/>
      </w:rPr>
      <w:t>DRORYS PACKLIST S.p.A.</w:t>
    </w:r>
  </w:p>
  <w:p w14:paraId="1230E9C6" w14:textId="77777777" w:rsidR="00864F15" w:rsidRPr="00864F15" w:rsidRDefault="00864F15" w:rsidP="00864F15">
    <w:pPr>
      <w:pStyle w:val="Pidipagina"/>
      <w:jc w:val="center"/>
      <w:rPr>
        <w:rFonts w:ascii="Helvetica Neue" w:hAnsi="Helvetica Neue"/>
        <w:sz w:val="18"/>
        <w:szCs w:val="18"/>
      </w:rPr>
    </w:pPr>
    <w:r w:rsidRPr="00864F15">
      <w:rPr>
        <w:rFonts w:ascii="Helvetica Neue" w:hAnsi="Helvetica Neue"/>
        <w:sz w:val="18"/>
        <w:szCs w:val="18"/>
      </w:rPr>
      <w:t>Sede Legale: Via San Nicola 12 - 84020 Palomonte (SA)</w:t>
    </w:r>
  </w:p>
  <w:p w14:paraId="79850873" w14:textId="77777777" w:rsidR="00864F15" w:rsidRPr="00864F15" w:rsidRDefault="00864F15" w:rsidP="00864F15">
    <w:pPr>
      <w:pStyle w:val="Pidipagina"/>
      <w:jc w:val="center"/>
      <w:rPr>
        <w:rFonts w:ascii="Helvetica Neue" w:hAnsi="Helvetica Neue"/>
        <w:sz w:val="18"/>
        <w:szCs w:val="18"/>
      </w:rPr>
    </w:pPr>
    <w:r w:rsidRPr="00864F15">
      <w:rPr>
        <w:rFonts w:ascii="Helvetica Neue" w:hAnsi="Helvetica Neue"/>
        <w:sz w:val="18"/>
        <w:szCs w:val="18"/>
      </w:rPr>
      <w:t>tel. (+39) 0828997433 - fax (+39) 0828997435 - e mail: droryspacklist@drorys.it - www.drorys.it</w:t>
    </w:r>
  </w:p>
  <w:p w14:paraId="7FA21477" w14:textId="77777777" w:rsidR="00864F15" w:rsidRPr="00864F15" w:rsidRDefault="00864F15" w:rsidP="00864F15">
    <w:pPr>
      <w:pStyle w:val="Pidipagina"/>
      <w:jc w:val="center"/>
      <w:rPr>
        <w:rFonts w:ascii="Helvetica Neue" w:hAnsi="Helvetica Neue"/>
        <w:sz w:val="18"/>
        <w:szCs w:val="18"/>
      </w:rPr>
    </w:pPr>
  </w:p>
  <w:p w14:paraId="51ACBCA1" w14:textId="16DBEFD8" w:rsidR="00B247A7" w:rsidRPr="00864F15" w:rsidRDefault="00864F15" w:rsidP="00864F15">
    <w:pPr>
      <w:pStyle w:val="Pidipagina"/>
      <w:jc w:val="center"/>
      <w:rPr>
        <w:rFonts w:ascii="Helvetica Neue" w:hAnsi="Helvetica Neue"/>
        <w:sz w:val="16"/>
        <w:szCs w:val="16"/>
      </w:rPr>
    </w:pPr>
    <w:r w:rsidRPr="00864F15">
      <w:rPr>
        <w:rFonts w:ascii="Helvetica Neue" w:hAnsi="Helvetica Neue"/>
        <w:sz w:val="16"/>
        <w:szCs w:val="16"/>
      </w:rPr>
      <w:t xml:space="preserve">P.IVA 05924560633 - U.L.TO 1198464 - R.E.A. SA 259006 - Reg. </w:t>
    </w:r>
    <w:proofErr w:type="spellStart"/>
    <w:r w:rsidRPr="00864F15">
      <w:rPr>
        <w:rFonts w:ascii="Helvetica Neue" w:hAnsi="Helvetica Neue"/>
        <w:sz w:val="16"/>
        <w:szCs w:val="16"/>
      </w:rPr>
      <w:t>Imp</w:t>
    </w:r>
    <w:proofErr w:type="spellEnd"/>
    <w:r w:rsidRPr="00864F15">
      <w:rPr>
        <w:rFonts w:ascii="Helvetica Neue" w:hAnsi="Helvetica Neue"/>
        <w:sz w:val="16"/>
        <w:szCs w:val="16"/>
      </w:rPr>
      <w:t xml:space="preserve">. SA05924560633 - Capitale sociale </w:t>
    </w:r>
    <w:proofErr w:type="spellStart"/>
    <w:r w:rsidRPr="00864F15">
      <w:rPr>
        <w:rFonts w:ascii="Helvetica Neue" w:hAnsi="Helvetica Neue"/>
        <w:sz w:val="16"/>
        <w:szCs w:val="16"/>
      </w:rPr>
      <w:t>i.v</w:t>
    </w:r>
    <w:proofErr w:type="spellEnd"/>
    <w:r w:rsidRPr="00864F15">
      <w:rPr>
        <w:rFonts w:ascii="Helvetica Neue" w:hAnsi="Helvetica Neue"/>
        <w:sz w:val="16"/>
        <w:szCs w:val="16"/>
      </w:rPr>
      <w:t>.: 2.392.066,00 Euro</w:t>
    </w:r>
  </w:p>
  <w:p w14:paraId="55087CA8" w14:textId="77777777" w:rsidR="00864F15" w:rsidRPr="00864F15" w:rsidRDefault="00864F15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405BF" w14:textId="77777777" w:rsidR="00B247A7" w:rsidRDefault="00B247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59EB8" w14:textId="77777777" w:rsidR="00345FA9" w:rsidRDefault="00345FA9" w:rsidP="00B247A7">
      <w:r>
        <w:separator/>
      </w:r>
    </w:p>
  </w:footnote>
  <w:footnote w:type="continuationSeparator" w:id="0">
    <w:p w14:paraId="12333619" w14:textId="77777777" w:rsidR="00345FA9" w:rsidRDefault="00345FA9" w:rsidP="00B2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59A75" w14:textId="77777777" w:rsidR="00B247A7" w:rsidRDefault="00B247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3CE20" w14:textId="1B38AF68" w:rsidR="00B247A7" w:rsidRDefault="00B247A7" w:rsidP="00B247A7">
    <w:pPr>
      <w:pStyle w:val="Intestazione"/>
      <w:jc w:val="center"/>
    </w:pPr>
    <w:r>
      <w:rPr>
        <w:noProof/>
      </w:rPr>
      <w:drawing>
        <wp:inline distT="0" distB="0" distL="0" distR="0" wp14:anchorId="68ADF92D" wp14:editId="475CE07D">
          <wp:extent cx="2336800" cy="5461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F23E5" w14:textId="77777777" w:rsidR="00B247A7" w:rsidRDefault="00B247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07BE"/>
    <w:multiLevelType w:val="multilevel"/>
    <w:tmpl w:val="FA14727A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w w:val="12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560F36E7"/>
    <w:multiLevelType w:val="multilevel"/>
    <w:tmpl w:val="C7FEDAAE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w w:val="12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592B0082"/>
    <w:multiLevelType w:val="multilevel"/>
    <w:tmpl w:val="CCDE0A70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w w:val="12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6853079E"/>
    <w:multiLevelType w:val="multilevel"/>
    <w:tmpl w:val="D7E8706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w w:val="12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70E371DF"/>
    <w:multiLevelType w:val="multilevel"/>
    <w:tmpl w:val="1A6E3BAC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w w:val="12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A7"/>
    <w:rsid w:val="000056BF"/>
    <w:rsid w:val="00155B1B"/>
    <w:rsid w:val="001A4068"/>
    <w:rsid w:val="002978EE"/>
    <w:rsid w:val="002A28DA"/>
    <w:rsid w:val="002D0963"/>
    <w:rsid w:val="00332F16"/>
    <w:rsid w:val="00345FA9"/>
    <w:rsid w:val="0042003B"/>
    <w:rsid w:val="00547E50"/>
    <w:rsid w:val="006E0AA4"/>
    <w:rsid w:val="007F7966"/>
    <w:rsid w:val="00864F15"/>
    <w:rsid w:val="00935CB4"/>
    <w:rsid w:val="00984C2A"/>
    <w:rsid w:val="00A94609"/>
    <w:rsid w:val="00B247A7"/>
    <w:rsid w:val="00D54BFB"/>
    <w:rsid w:val="00D96484"/>
    <w:rsid w:val="00DD4F00"/>
    <w:rsid w:val="00F8291E"/>
    <w:rsid w:val="00FA429A"/>
    <w:rsid w:val="00F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B49B99"/>
  <w15:chartTrackingRefBased/>
  <w15:docId w15:val="{9D741E5B-AB15-004B-BB6F-B588E084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4609"/>
    <w:pPr>
      <w:widowControl w:val="0"/>
    </w:pPr>
    <w:rPr>
      <w:rFonts w:ascii="Arial" w:eastAsia="Arial" w:hAnsi="Arial" w:cs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4609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4609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94609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47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7A7"/>
  </w:style>
  <w:style w:type="paragraph" w:styleId="Pidipagina">
    <w:name w:val="footer"/>
    <w:basedOn w:val="Normale"/>
    <w:link w:val="PidipaginaCarattere"/>
    <w:uiPriority w:val="99"/>
    <w:unhideWhenUsed/>
    <w:rsid w:val="00B247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7A7"/>
  </w:style>
  <w:style w:type="character" w:customStyle="1" w:styleId="00-StileDati">
    <w:name w:val="00-StileDati"/>
    <w:autoRedefine/>
    <w:rsid w:val="007F7966"/>
    <w:rPr>
      <w:color w:val="000000"/>
    </w:rPr>
  </w:style>
  <w:style w:type="paragraph" w:styleId="Nessunaspaziatura">
    <w:name w:val="No Spacing"/>
    <w:uiPriority w:val="1"/>
    <w:qFormat/>
    <w:rsid w:val="007F7966"/>
    <w:rPr>
      <w:rFonts w:ascii="Calibri" w:eastAsia="Calibri" w:hAnsi="Calibri" w:cs="Times New Roman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4609"/>
    <w:rPr>
      <w:rFonts w:ascii="Arial" w:eastAsia="Arial" w:hAnsi="Arial" w:cs="Arial"/>
      <w:b/>
      <w:bCs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4609"/>
    <w:rPr>
      <w:rFonts w:ascii="Arial" w:eastAsia="Arial" w:hAnsi="Arial" w:cs="Arial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4609"/>
    <w:rPr>
      <w:rFonts w:ascii="Arial" w:eastAsia="Arial" w:hAnsi="Arial" w:cs="Arial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A94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2026-03-31T09:28:00Z</cp:lastPrinted>
  <dcterms:created xsi:type="dcterms:W3CDTF">2026-03-31T09:15:00Z</dcterms:created>
  <dcterms:modified xsi:type="dcterms:W3CDTF">2026-04-01T13:09:00Z</dcterms:modified>
</cp:coreProperties>
</file>