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0564B" w14:textId="77777777" w:rsidR="008B1109" w:rsidRDefault="008B1109" w:rsidP="008B1109">
      <w:pPr>
        <w:pStyle w:val="Titolo1"/>
        <w:spacing w:before="0" w:line="275" w:lineRule="auto"/>
        <w:jc w:val="center"/>
        <w:rPr>
          <w:rFonts w:eastAsia="Google Sans"/>
          <w:color w:val="000000" w:themeColor="text1"/>
          <w:sz w:val="28"/>
          <w:szCs w:val="28"/>
        </w:rPr>
      </w:pPr>
    </w:p>
    <w:p w14:paraId="4AF3D88C" w14:textId="1FEB6798" w:rsidR="008B1109" w:rsidRPr="008B1109" w:rsidRDefault="008B1109" w:rsidP="008B1109">
      <w:pPr>
        <w:pStyle w:val="Titolo1"/>
        <w:spacing w:before="0" w:line="275" w:lineRule="auto"/>
        <w:jc w:val="center"/>
        <w:rPr>
          <w:rFonts w:eastAsia="Google Sans"/>
          <w:color w:val="3B3838" w:themeColor="background2" w:themeShade="40"/>
          <w:sz w:val="28"/>
          <w:szCs w:val="28"/>
        </w:rPr>
      </w:pPr>
      <w:r w:rsidRPr="008B1109">
        <w:rPr>
          <w:rFonts w:eastAsia="Google Sans"/>
          <w:color w:val="3B3838" w:themeColor="background2" w:themeShade="40"/>
          <w:sz w:val="28"/>
          <w:szCs w:val="28"/>
        </w:rPr>
        <w:t>DOCUMENTO DI INDIRIZZO ALLA PROGETTAZIONE (D.I.P.)</w:t>
      </w:r>
    </w:p>
    <w:p w14:paraId="07C751CC" w14:textId="72CB83E1" w:rsidR="008B1109" w:rsidRPr="008B1109" w:rsidRDefault="008B1109" w:rsidP="008B1109">
      <w:pPr>
        <w:pStyle w:val="Titolo2"/>
        <w:spacing w:before="0" w:line="275" w:lineRule="auto"/>
        <w:jc w:val="center"/>
        <w:rPr>
          <w:rFonts w:eastAsia="Google Sans"/>
          <w:color w:val="3B3838" w:themeColor="background2" w:themeShade="40"/>
          <w:sz w:val="24"/>
          <w:szCs w:val="24"/>
        </w:rPr>
      </w:pPr>
      <w:r w:rsidRPr="008B1109">
        <w:rPr>
          <w:rFonts w:eastAsia="Google Sans"/>
          <w:color w:val="3B3838" w:themeColor="background2" w:themeShade="40"/>
          <w:sz w:val="24"/>
          <w:szCs w:val="24"/>
        </w:rPr>
        <w:t>SEZIONE 1: VISION STRATEGICA E IDENTITÀ AZIENDALE</w:t>
      </w:r>
    </w:p>
    <w:p w14:paraId="0499B7E9" w14:textId="08390C49" w:rsidR="008B1109" w:rsidRPr="008B1109" w:rsidRDefault="008B1109" w:rsidP="008B1109">
      <w:pPr>
        <w:rPr>
          <w:color w:val="3B3838" w:themeColor="background2" w:themeShade="40"/>
        </w:rPr>
      </w:pPr>
    </w:p>
    <w:p w14:paraId="0F98FEE0" w14:textId="77777777" w:rsidR="008B1109" w:rsidRPr="008B1109" w:rsidRDefault="008B1109" w:rsidP="008B1109">
      <w:pPr>
        <w:rPr>
          <w:color w:val="3B3838" w:themeColor="background2" w:themeShade="40"/>
        </w:rPr>
      </w:pPr>
    </w:p>
    <w:p w14:paraId="18310CFC" w14:textId="77777777" w:rsidR="008B1109" w:rsidRPr="008B1109" w:rsidRDefault="008B1109" w:rsidP="008B1109">
      <w:pPr>
        <w:pStyle w:val="Titolo3"/>
        <w:spacing w:before="0" w:line="275" w:lineRule="auto"/>
        <w:rPr>
          <w:rFonts w:eastAsia="Google Sans"/>
          <w:color w:val="3B3838" w:themeColor="background2" w:themeShade="40"/>
        </w:rPr>
      </w:pPr>
      <w:r w:rsidRPr="008B1109">
        <w:rPr>
          <w:rFonts w:eastAsia="Google Sans"/>
          <w:color w:val="3B3838" w:themeColor="background2" w:themeShade="40"/>
        </w:rPr>
        <w:t>1.1. Il Concetto: L’Industria 5.0 come Manifesto</w:t>
      </w:r>
    </w:p>
    <w:p w14:paraId="2CCBE0E3" w14:textId="77777777" w:rsidR="008B1109" w:rsidRPr="008B1109" w:rsidRDefault="008B1109" w:rsidP="008B11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3B3838" w:themeColor="background2" w:themeShade="40"/>
        </w:rPr>
      </w:pPr>
      <w:r w:rsidRPr="008B1109">
        <w:rPr>
          <w:rFonts w:eastAsia="Google Sans"/>
          <w:color w:val="3B3838" w:themeColor="background2" w:themeShade="40"/>
        </w:rPr>
        <w:t xml:space="preserve">Il progetto per la nuova sede "HQ" di </w:t>
      </w:r>
      <w:proofErr w:type="spellStart"/>
      <w:r w:rsidRPr="008B1109">
        <w:rPr>
          <w:rFonts w:eastAsia="Google Sans"/>
          <w:b/>
          <w:bCs/>
          <w:color w:val="3B3838" w:themeColor="background2" w:themeShade="40"/>
        </w:rPr>
        <w:t>Drorys</w:t>
      </w:r>
      <w:proofErr w:type="spellEnd"/>
      <w:r w:rsidRPr="008B1109">
        <w:rPr>
          <w:rFonts w:eastAsia="Google Sans"/>
          <w:b/>
          <w:bCs/>
          <w:color w:val="3B3838" w:themeColor="background2" w:themeShade="40"/>
        </w:rPr>
        <w:t xml:space="preserve"> </w:t>
      </w:r>
      <w:proofErr w:type="spellStart"/>
      <w:r w:rsidRPr="008B1109">
        <w:rPr>
          <w:rFonts w:eastAsia="Google Sans"/>
          <w:b/>
          <w:bCs/>
          <w:color w:val="3B3838" w:themeColor="background2" w:themeShade="40"/>
        </w:rPr>
        <w:t>Packlist</w:t>
      </w:r>
      <w:proofErr w:type="spellEnd"/>
      <w:r w:rsidRPr="008B1109">
        <w:rPr>
          <w:rFonts w:eastAsia="Google Sans"/>
          <w:b/>
          <w:bCs/>
          <w:color w:val="3B3838" w:themeColor="background2" w:themeShade="40"/>
        </w:rPr>
        <w:t xml:space="preserve"> </w:t>
      </w:r>
      <w:proofErr w:type="spellStart"/>
      <w:r w:rsidRPr="008B1109">
        <w:rPr>
          <w:rFonts w:eastAsia="Google Sans"/>
          <w:b/>
          <w:bCs/>
          <w:color w:val="3B3838" w:themeColor="background2" w:themeShade="40"/>
        </w:rPr>
        <w:t>SpA</w:t>
      </w:r>
      <w:proofErr w:type="spellEnd"/>
      <w:r w:rsidRPr="008B1109">
        <w:rPr>
          <w:rFonts w:eastAsia="Google Sans"/>
          <w:color w:val="3B3838" w:themeColor="background2" w:themeShade="40"/>
        </w:rPr>
        <w:t xml:space="preserve"> non deve essere inteso come un mero intervento di edilizia industriale, ma come la trasposizione architettonica di un profondo cambiamento aziendale. La "Vision" si colloca nel solco dell’</w:t>
      </w:r>
      <w:r w:rsidRPr="008B1109">
        <w:rPr>
          <w:rFonts w:eastAsia="Google Sans"/>
          <w:b/>
          <w:bCs/>
          <w:color w:val="3B3838" w:themeColor="background2" w:themeShade="40"/>
        </w:rPr>
        <w:t>Industria 5.0</w:t>
      </w:r>
      <w:r w:rsidRPr="008B1109">
        <w:rPr>
          <w:rFonts w:eastAsia="Google Sans"/>
          <w:color w:val="3B3838" w:themeColor="background2" w:themeShade="40"/>
        </w:rPr>
        <w:t xml:space="preserve">, superando la logica della sola efficienza produttiva per abbracciare un modello </w:t>
      </w:r>
      <w:proofErr w:type="spellStart"/>
      <w:r w:rsidRPr="008B1109">
        <w:rPr>
          <w:rFonts w:eastAsia="Google Sans"/>
          <w:b/>
          <w:bCs/>
          <w:color w:val="3B3838" w:themeColor="background2" w:themeShade="40"/>
        </w:rPr>
        <w:t>umanocentrico</w:t>
      </w:r>
      <w:proofErr w:type="spellEnd"/>
      <w:r w:rsidRPr="008B1109">
        <w:rPr>
          <w:rFonts w:eastAsia="Google Sans"/>
          <w:b/>
          <w:bCs/>
          <w:color w:val="3B3838" w:themeColor="background2" w:themeShade="40"/>
        </w:rPr>
        <w:t>, sostenibile e resiliente</w:t>
      </w:r>
      <w:r w:rsidRPr="008B1109">
        <w:rPr>
          <w:rFonts w:eastAsia="Google Sans"/>
          <w:color w:val="3B3838" w:themeColor="background2" w:themeShade="40"/>
        </w:rPr>
        <w:t>.</w:t>
      </w:r>
    </w:p>
    <w:p w14:paraId="247F26EE" w14:textId="77777777" w:rsidR="008B1109" w:rsidRPr="008B1109" w:rsidRDefault="008B1109" w:rsidP="008B11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3B3838" w:themeColor="background2" w:themeShade="40"/>
        </w:rPr>
      </w:pPr>
      <w:r w:rsidRPr="008B1109">
        <w:rPr>
          <w:rFonts w:eastAsia="Google Sans"/>
          <w:color w:val="3B3838" w:themeColor="background2" w:themeShade="40"/>
        </w:rPr>
        <w:t xml:space="preserve">L'obiettivo è la ricerca di un </w:t>
      </w:r>
      <w:r w:rsidRPr="008B1109">
        <w:rPr>
          <w:rFonts w:eastAsia="Google Sans"/>
          <w:b/>
          <w:bCs/>
          <w:color w:val="3B3838" w:themeColor="background2" w:themeShade="40"/>
        </w:rPr>
        <w:t xml:space="preserve">"fil </w:t>
      </w:r>
      <w:proofErr w:type="spellStart"/>
      <w:r w:rsidRPr="008B1109">
        <w:rPr>
          <w:rFonts w:eastAsia="Google Sans"/>
          <w:b/>
          <w:bCs/>
          <w:color w:val="3B3838" w:themeColor="background2" w:themeShade="40"/>
        </w:rPr>
        <w:t>rouge</w:t>
      </w:r>
      <w:proofErr w:type="spellEnd"/>
      <w:r w:rsidRPr="008B1109">
        <w:rPr>
          <w:rFonts w:eastAsia="Google Sans"/>
          <w:b/>
          <w:bCs/>
          <w:color w:val="3B3838" w:themeColor="background2" w:themeShade="40"/>
        </w:rPr>
        <w:t>"</w:t>
      </w:r>
      <w:r w:rsidRPr="008B1109">
        <w:rPr>
          <w:rFonts w:eastAsia="Google Sans"/>
          <w:color w:val="3B3838" w:themeColor="background2" w:themeShade="40"/>
        </w:rPr>
        <w:t xml:space="preserve"> che colleghi la struttura architettonica all'identità di un'azienda che aggiorna costantemente i propri valori. La nuova sede deve essere un'icona visiva: chiunque osservi lo stabilimento dall'esterno deve percepire immediatamente la missione "Green" dell'azienda, in una perfetta corrispondenza tra l'immagine del brand e la realtà operativa interna.</w:t>
      </w:r>
    </w:p>
    <w:p w14:paraId="3D05305C" w14:textId="77777777" w:rsidR="008B1109" w:rsidRPr="008B1109" w:rsidRDefault="008B1109" w:rsidP="008B11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3B3838" w:themeColor="background2" w:themeShade="40"/>
        </w:rPr>
      </w:pPr>
    </w:p>
    <w:p w14:paraId="0B1D003C" w14:textId="77777777" w:rsidR="008B1109" w:rsidRPr="008B1109" w:rsidRDefault="008B1109" w:rsidP="008B1109">
      <w:pPr>
        <w:pStyle w:val="Titolo3"/>
        <w:spacing w:before="0" w:line="275" w:lineRule="auto"/>
        <w:rPr>
          <w:rFonts w:eastAsia="Google Sans"/>
          <w:color w:val="3B3838" w:themeColor="background2" w:themeShade="40"/>
        </w:rPr>
      </w:pPr>
      <w:r w:rsidRPr="008B1109">
        <w:rPr>
          <w:rFonts w:eastAsia="Google Sans"/>
          <w:color w:val="3B3838" w:themeColor="background2" w:themeShade="40"/>
        </w:rPr>
        <w:t xml:space="preserve">1.2. I Pilastri della Progettazione: </w:t>
      </w:r>
      <w:proofErr w:type="spellStart"/>
      <w:r w:rsidRPr="008B1109">
        <w:rPr>
          <w:rFonts w:eastAsia="Google Sans"/>
          <w:color w:val="3B3838" w:themeColor="background2" w:themeShade="40"/>
        </w:rPr>
        <w:t>European</w:t>
      </w:r>
      <w:proofErr w:type="spellEnd"/>
      <w:r w:rsidRPr="008B1109">
        <w:rPr>
          <w:rFonts w:eastAsia="Google Sans"/>
          <w:color w:val="3B3838" w:themeColor="background2" w:themeShade="40"/>
        </w:rPr>
        <w:t xml:space="preserve"> Green Deal</w:t>
      </w:r>
    </w:p>
    <w:p w14:paraId="729EA3DC" w14:textId="77777777" w:rsidR="008B1109" w:rsidRPr="008B1109" w:rsidRDefault="008B1109" w:rsidP="008B11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3B3838" w:themeColor="background2" w:themeShade="40"/>
        </w:rPr>
      </w:pPr>
      <w:r w:rsidRPr="008B1109">
        <w:rPr>
          <w:rFonts w:eastAsia="Google Sans"/>
          <w:color w:val="3B3838" w:themeColor="background2" w:themeShade="40"/>
        </w:rPr>
        <w:t>La sostenibilità non deve essere un elemento decorativo, ma la sostanza stessa dell'intervento. I progettisti sono chiamati a declinare la svolta "Green" attraverso tre driver tecnologici fondamentali, che devono essere fusi in una forma peculiare ed identificativa:</w:t>
      </w:r>
    </w:p>
    <w:p w14:paraId="4B011340" w14:textId="77777777" w:rsidR="008B1109" w:rsidRPr="008B1109" w:rsidRDefault="008B1109" w:rsidP="008B11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3B3838" w:themeColor="background2" w:themeShade="40"/>
        </w:rPr>
      </w:pPr>
      <w:r w:rsidRPr="008B1109">
        <w:rPr>
          <w:rFonts w:eastAsia="Google Sans"/>
          <w:b/>
          <w:bCs/>
          <w:color w:val="3B3838" w:themeColor="background2" w:themeShade="40"/>
        </w:rPr>
        <w:t>Il Benessere Naturale (Tunnel Solari):</w:t>
      </w:r>
      <w:r w:rsidRPr="008B1109">
        <w:rPr>
          <w:rFonts w:eastAsia="Google Sans"/>
          <w:color w:val="3B3838" w:themeColor="background2" w:themeShade="40"/>
        </w:rPr>
        <w:t xml:space="preserve"> L'illuminazione deve tornare a essere un elemento biologico. Si richiede l'integrazione di sistemi per la captazione e il trasporto della luce naturale zenitale (Tunnel Solari) all'interno degli spazi produttivi e degli uffici. Questa scelta mira a garantire il benessere </w:t>
      </w:r>
      <w:proofErr w:type="spellStart"/>
      <w:r w:rsidRPr="008B1109">
        <w:rPr>
          <w:rFonts w:eastAsia="Google Sans"/>
          <w:color w:val="3B3838" w:themeColor="background2" w:themeShade="40"/>
        </w:rPr>
        <w:t>bio</w:t>
      </w:r>
      <w:proofErr w:type="spellEnd"/>
      <w:r w:rsidRPr="008B1109">
        <w:rPr>
          <w:rFonts w:eastAsia="Google Sans"/>
          <w:color w:val="3B3838" w:themeColor="background2" w:themeShade="40"/>
        </w:rPr>
        <w:t>-psichico dei lavoratori (apporto di vitamina D) e a ridurre drasticamente il consumo energetico, eliminando l'apporto termico indesiderato tipico delle finestrature classiche.</w:t>
      </w:r>
    </w:p>
    <w:p w14:paraId="034C607C" w14:textId="77777777" w:rsidR="008B1109" w:rsidRPr="008B1109" w:rsidRDefault="008B1109" w:rsidP="008B11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3B3838" w:themeColor="background2" w:themeShade="40"/>
        </w:rPr>
      </w:pPr>
      <w:r w:rsidRPr="008B1109">
        <w:rPr>
          <w:rFonts w:eastAsia="Google Sans"/>
          <w:b/>
          <w:bCs/>
          <w:color w:val="3B3838" w:themeColor="background2" w:themeShade="40"/>
        </w:rPr>
        <w:t xml:space="preserve">L’Architettura Viva (Green </w:t>
      </w:r>
      <w:proofErr w:type="spellStart"/>
      <w:r w:rsidRPr="008B1109">
        <w:rPr>
          <w:rFonts w:eastAsia="Google Sans"/>
          <w:b/>
          <w:bCs/>
          <w:color w:val="3B3838" w:themeColor="background2" w:themeShade="40"/>
        </w:rPr>
        <w:t>Roof</w:t>
      </w:r>
      <w:proofErr w:type="spellEnd"/>
      <w:r w:rsidRPr="008B1109">
        <w:rPr>
          <w:rFonts w:eastAsia="Google Sans"/>
          <w:b/>
          <w:bCs/>
          <w:color w:val="3B3838" w:themeColor="background2" w:themeShade="40"/>
        </w:rPr>
        <w:t>):</w:t>
      </w:r>
      <w:r w:rsidRPr="008B1109">
        <w:rPr>
          <w:rFonts w:eastAsia="Google Sans"/>
          <w:color w:val="3B3838" w:themeColor="background2" w:themeShade="40"/>
        </w:rPr>
        <w:t xml:space="preserve"> Il tetto dello stabilimento deve trasformarsi da superficie inerte a risorsa ambientale. Si suggerisce la progettazione di un </w:t>
      </w:r>
      <w:r w:rsidRPr="008B1109">
        <w:rPr>
          <w:rFonts w:eastAsia="Google Sans"/>
          <w:b/>
          <w:bCs/>
          <w:color w:val="3B3838" w:themeColor="background2" w:themeShade="40"/>
        </w:rPr>
        <w:t xml:space="preserve">Green </w:t>
      </w:r>
      <w:proofErr w:type="spellStart"/>
      <w:r w:rsidRPr="008B1109">
        <w:rPr>
          <w:rFonts w:eastAsia="Google Sans"/>
          <w:b/>
          <w:bCs/>
          <w:color w:val="3B3838" w:themeColor="background2" w:themeShade="40"/>
        </w:rPr>
        <w:t>Roof</w:t>
      </w:r>
      <w:proofErr w:type="spellEnd"/>
      <w:r w:rsidRPr="008B1109">
        <w:rPr>
          <w:rFonts w:eastAsia="Google Sans"/>
          <w:b/>
          <w:bCs/>
          <w:color w:val="3B3838" w:themeColor="background2" w:themeShade="40"/>
        </w:rPr>
        <w:t xml:space="preserve"> (Tetto Verde)</w:t>
      </w:r>
      <w:r w:rsidRPr="008B1109">
        <w:rPr>
          <w:rFonts w:eastAsia="Google Sans"/>
          <w:color w:val="3B3838" w:themeColor="background2" w:themeShade="40"/>
        </w:rPr>
        <w:t xml:space="preserve"> che assolva a una duplice funzione:</w:t>
      </w:r>
    </w:p>
    <w:p w14:paraId="241E2D8B" w14:textId="77777777" w:rsidR="008B1109" w:rsidRPr="008B1109" w:rsidRDefault="008B1109" w:rsidP="008B11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3B3838" w:themeColor="background2" w:themeShade="40"/>
        </w:rPr>
      </w:pPr>
      <w:r w:rsidRPr="008B1109">
        <w:rPr>
          <w:rFonts w:eastAsia="Google Sans"/>
          <w:b/>
          <w:bCs/>
          <w:color w:val="3B3838" w:themeColor="background2" w:themeShade="40"/>
        </w:rPr>
        <w:t>Tecnica:</w:t>
      </w:r>
      <w:r w:rsidRPr="008B1109">
        <w:rPr>
          <w:rFonts w:eastAsia="Google Sans"/>
          <w:color w:val="3B3838" w:themeColor="background2" w:themeShade="40"/>
        </w:rPr>
        <w:t xml:space="preserve"> Isolante termico naturale e termoregolatore, capace di mitigare le isole di calore e gestire le acque meteoriche.</w:t>
      </w:r>
    </w:p>
    <w:p w14:paraId="34C605B1" w14:textId="77777777" w:rsidR="008B1109" w:rsidRPr="008B1109" w:rsidRDefault="008B1109" w:rsidP="008B11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3B3838" w:themeColor="background2" w:themeShade="40"/>
        </w:rPr>
      </w:pPr>
      <w:r w:rsidRPr="008B1109">
        <w:rPr>
          <w:rFonts w:eastAsia="Google Sans"/>
          <w:b/>
          <w:bCs/>
          <w:color w:val="3B3838" w:themeColor="background2" w:themeShade="40"/>
        </w:rPr>
        <w:t>Sociale:</w:t>
      </w:r>
      <w:r w:rsidRPr="008B1109">
        <w:rPr>
          <w:rFonts w:eastAsia="Google Sans"/>
          <w:color w:val="3B3838" w:themeColor="background2" w:themeShade="40"/>
        </w:rPr>
        <w:t xml:space="preserve"> Creazione di uno spazio usufruibile dal personale per pause relax, eventi aziendali o momenti di socializzazione, immersi nel verde anche in un contesto industriale.</w:t>
      </w:r>
    </w:p>
    <w:p w14:paraId="2BD519C4" w14:textId="77777777" w:rsidR="008B1109" w:rsidRPr="008B1109" w:rsidRDefault="008B1109" w:rsidP="008B11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3B3838" w:themeColor="background2" w:themeShade="40"/>
        </w:rPr>
      </w:pPr>
      <w:r w:rsidRPr="008B1109">
        <w:rPr>
          <w:rFonts w:eastAsia="Google Sans"/>
          <w:b/>
          <w:bCs/>
          <w:color w:val="3B3838" w:themeColor="background2" w:themeShade="40"/>
        </w:rPr>
        <w:t>L’</w:t>
      </w:r>
      <w:proofErr w:type="spellStart"/>
      <w:r w:rsidRPr="008B1109">
        <w:rPr>
          <w:rFonts w:eastAsia="Google Sans"/>
          <w:b/>
          <w:bCs/>
          <w:color w:val="3B3838" w:themeColor="background2" w:themeShade="40"/>
        </w:rPr>
        <w:t>Hub</w:t>
      </w:r>
      <w:proofErr w:type="spellEnd"/>
      <w:r w:rsidRPr="008B1109">
        <w:rPr>
          <w:rFonts w:eastAsia="Google Sans"/>
          <w:b/>
          <w:bCs/>
          <w:color w:val="3B3838" w:themeColor="background2" w:themeShade="40"/>
        </w:rPr>
        <w:t xml:space="preserve"> Energetico (Pensiline Fotovoltaiche):</w:t>
      </w:r>
      <w:r w:rsidRPr="008B1109">
        <w:rPr>
          <w:rFonts w:eastAsia="Google Sans"/>
          <w:color w:val="3B3838" w:themeColor="background2" w:themeShade="40"/>
        </w:rPr>
        <w:t xml:space="preserve"> L'area esterna e i parcheggi devono riflettere la propensione tecnologica della </w:t>
      </w:r>
      <w:proofErr w:type="spellStart"/>
      <w:r w:rsidRPr="008B1109">
        <w:rPr>
          <w:rFonts w:eastAsia="Google Sans"/>
          <w:color w:val="3B3838" w:themeColor="background2" w:themeShade="40"/>
        </w:rPr>
        <w:t>Drorys</w:t>
      </w:r>
      <w:proofErr w:type="spellEnd"/>
      <w:r w:rsidRPr="008B1109">
        <w:rPr>
          <w:rFonts w:eastAsia="Google Sans"/>
          <w:color w:val="3B3838" w:themeColor="background2" w:themeShade="40"/>
        </w:rPr>
        <w:t xml:space="preserve"> </w:t>
      </w:r>
      <w:proofErr w:type="spellStart"/>
      <w:r w:rsidRPr="008B1109">
        <w:rPr>
          <w:rFonts w:eastAsia="Google Sans"/>
          <w:color w:val="3B3838" w:themeColor="background2" w:themeShade="40"/>
        </w:rPr>
        <w:t>Packlist</w:t>
      </w:r>
      <w:proofErr w:type="spellEnd"/>
      <w:r w:rsidRPr="008B1109">
        <w:rPr>
          <w:rFonts w:eastAsia="Google Sans"/>
          <w:color w:val="3B3838" w:themeColor="background2" w:themeShade="40"/>
        </w:rPr>
        <w:t>. La visione prevede l'installazione di pensiline fotovoltaiche in alluminio, certificate e a bassa manutenzione, abilitate alla ricarica dei veicoli elettrici. Tali strutture dovranno essere personalizzabili (es. teli in PVC) per comunicare il brand e fungere da primo punto di contatto visivo con il visitatore.</w:t>
      </w:r>
    </w:p>
    <w:p w14:paraId="294A2C1A" w14:textId="77777777" w:rsidR="008B1109" w:rsidRPr="008B1109" w:rsidRDefault="008B1109" w:rsidP="008B11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3B3838" w:themeColor="background2" w:themeShade="40"/>
        </w:rPr>
      </w:pPr>
    </w:p>
    <w:p w14:paraId="1D8AA841" w14:textId="7B768D3F" w:rsidR="008B1109" w:rsidRPr="008B1109" w:rsidRDefault="008B1109" w:rsidP="008B11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3B3838" w:themeColor="background2" w:themeShade="40"/>
        </w:rPr>
      </w:pPr>
    </w:p>
    <w:p w14:paraId="0E159ABB" w14:textId="6DDDC0B0" w:rsidR="008B1109" w:rsidRPr="008B1109" w:rsidRDefault="008B1109" w:rsidP="008B11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3B3838" w:themeColor="background2" w:themeShade="40"/>
        </w:rPr>
      </w:pPr>
    </w:p>
    <w:p w14:paraId="6F360816" w14:textId="06E1206B" w:rsidR="008B1109" w:rsidRPr="008B1109" w:rsidRDefault="008B1109" w:rsidP="008B11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3B3838" w:themeColor="background2" w:themeShade="40"/>
        </w:rPr>
      </w:pPr>
    </w:p>
    <w:p w14:paraId="05A5560F" w14:textId="77777777" w:rsidR="008B1109" w:rsidRPr="008B1109" w:rsidRDefault="008B1109" w:rsidP="008B11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3B3838" w:themeColor="background2" w:themeShade="40"/>
        </w:rPr>
      </w:pPr>
    </w:p>
    <w:p w14:paraId="6B65920A" w14:textId="77777777" w:rsidR="008B1109" w:rsidRPr="008B1109" w:rsidRDefault="008B1109" w:rsidP="008B1109">
      <w:pPr>
        <w:pStyle w:val="Titolo3"/>
        <w:spacing w:before="0" w:line="275" w:lineRule="auto"/>
        <w:jc w:val="both"/>
        <w:rPr>
          <w:rFonts w:eastAsia="Google Sans"/>
          <w:color w:val="3B3838" w:themeColor="background2" w:themeShade="40"/>
        </w:rPr>
      </w:pPr>
      <w:r w:rsidRPr="008B1109">
        <w:rPr>
          <w:rFonts w:eastAsia="Google Sans"/>
          <w:color w:val="3B3838" w:themeColor="background2" w:themeShade="40"/>
        </w:rPr>
        <w:t>1.3. Corrispondenza tra Esterno ed Interno</w:t>
      </w:r>
    </w:p>
    <w:p w14:paraId="32A06DF7" w14:textId="77777777" w:rsidR="008B1109" w:rsidRPr="008B1109" w:rsidRDefault="008B1109" w:rsidP="008B11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3B3838" w:themeColor="background2" w:themeShade="40"/>
        </w:rPr>
      </w:pPr>
      <w:r w:rsidRPr="008B1109">
        <w:rPr>
          <w:rFonts w:eastAsia="Google Sans"/>
          <w:color w:val="3B3838" w:themeColor="background2" w:themeShade="40"/>
        </w:rPr>
        <w:t>La sfida progettuale risiede nel creare un organismo edilizio che non nasconda il processo produttivo, ma lo valorizzi. Gli uffici, le aree di rappresentanza e lo stabilimento devono dialogare tra loro. Il linguaggio architettonico deve essere coerente: la trasparenza, l'uso di materiali sostenibili e l'integrazione tecnologica devono essere i termini di un racconto che parla di una crescita performante, ottimale e rispettosa dell'ambiente.</w:t>
      </w:r>
    </w:p>
    <w:p w14:paraId="4FA75899" w14:textId="77777777" w:rsidR="008B1109" w:rsidRPr="008B1109" w:rsidRDefault="008B1109" w:rsidP="008B11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3B3838" w:themeColor="background2" w:themeShade="40"/>
        </w:rPr>
      </w:pPr>
    </w:p>
    <w:p w14:paraId="61FEC471" w14:textId="77777777" w:rsidR="008B1109" w:rsidRPr="008B1109" w:rsidRDefault="008B1109" w:rsidP="008B1109">
      <w:pPr>
        <w:pStyle w:val="Titolo3"/>
        <w:spacing w:before="0" w:line="275" w:lineRule="auto"/>
        <w:rPr>
          <w:rFonts w:eastAsia="Google Sans"/>
          <w:color w:val="3B3838" w:themeColor="background2" w:themeShade="40"/>
        </w:rPr>
      </w:pPr>
      <w:r w:rsidRPr="008B1109">
        <w:rPr>
          <w:rFonts w:eastAsia="Google Sans"/>
          <w:color w:val="3B3838" w:themeColor="background2" w:themeShade="40"/>
        </w:rPr>
        <w:t>1.4. Obiettivo Finale</w:t>
      </w:r>
    </w:p>
    <w:p w14:paraId="6F4C6F47" w14:textId="60572862" w:rsidR="002A28DA" w:rsidRPr="008B1109" w:rsidRDefault="008B1109" w:rsidP="008B1109">
      <w:pPr>
        <w:rPr>
          <w:color w:val="3B3838" w:themeColor="background2" w:themeShade="40"/>
          <w:sz w:val="18"/>
          <w:szCs w:val="18"/>
        </w:rPr>
      </w:pPr>
      <w:r w:rsidRPr="008B1109">
        <w:rPr>
          <w:rFonts w:eastAsia="Google Sans"/>
          <w:color w:val="3B3838" w:themeColor="background2" w:themeShade="40"/>
        </w:rPr>
        <w:t>Il progetto vincitore sarà quello capace di sintetizzare questi elementi in un'opera architettonica unitaria, dove la tecnologia (Industria 5.0) e la natura (Green Deal) si fondono per creare un luogo di lavoro stimolante, efficiente e profondamente legato al territorio</w:t>
      </w:r>
      <w:r w:rsidR="00D77DBE">
        <w:rPr>
          <w:rFonts w:eastAsia="Google Sans"/>
          <w:color w:val="3B3838" w:themeColor="background2" w:themeShade="40"/>
        </w:rPr>
        <w:t>.</w:t>
      </w:r>
      <w:bookmarkStart w:id="0" w:name="_GoBack"/>
      <w:bookmarkEnd w:id="0"/>
    </w:p>
    <w:sectPr w:rsidR="002A28DA" w:rsidRPr="008B1109" w:rsidSect="00F82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B9690" w14:textId="77777777" w:rsidR="00882514" w:rsidRDefault="00882514" w:rsidP="00B247A7">
      <w:r>
        <w:separator/>
      </w:r>
    </w:p>
  </w:endnote>
  <w:endnote w:type="continuationSeparator" w:id="0">
    <w:p w14:paraId="6098BDE5" w14:textId="77777777" w:rsidR="00882514" w:rsidRDefault="00882514" w:rsidP="00B2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C91DA" w14:textId="77777777" w:rsidR="00B247A7" w:rsidRDefault="00B247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1CF0" w14:textId="77777777" w:rsidR="00864F15" w:rsidRPr="00864F15" w:rsidRDefault="00864F15" w:rsidP="00864F15">
    <w:pPr>
      <w:pStyle w:val="Pidipagina"/>
      <w:jc w:val="center"/>
      <w:rPr>
        <w:rFonts w:ascii="Helvetica Neue" w:hAnsi="Helvetica Neue"/>
        <w:sz w:val="20"/>
        <w:szCs w:val="20"/>
        <w:lang w:val="en-US"/>
      </w:rPr>
    </w:pPr>
    <w:r w:rsidRPr="00864F15">
      <w:rPr>
        <w:rFonts w:ascii="Helvetica Neue" w:hAnsi="Helvetica Neue"/>
        <w:sz w:val="20"/>
        <w:szCs w:val="20"/>
        <w:lang w:val="en-US"/>
      </w:rPr>
      <w:t>DRORYS PACKLIST S.p.A.</w:t>
    </w:r>
  </w:p>
  <w:p w14:paraId="1230E9C6" w14:textId="77777777" w:rsidR="00864F15" w:rsidRPr="00864F15" w:rsidRDefault="00864F15" w:rsidP="00864F15">
    <w:pPr>
      <w:pStyle w:val="Pidipagina"/>
      <w:jc w:val="center"/>
      <w:rPr>
        <w:rFonts w:ascii="Helvetica Neue" w:hAnsi="Helvetica Neue"/>
        <w:sz w:val="18"/>
        <w:szCs w:val="18"/>
      </w:rPr>
    </w:pPr>
    <w:r w:rsidRPr="00864F15">
      <w:rPr>
        <w:rFonts w:ascii="Helvetica Neue" w:hAnsi="Helvetica Neue"/>
        <w:sz w:val="18"/>
        <w:szCs w:val="18"/>
      </w:rPr>
      <w:t>Sede Legale: Via San Nicola 12 - 84020 Palomonte (SA)</w:t>
    </w:r>
  </w:p>
  <w:p w14:paraId="79850873" w14:textId="77777777" w:rsidR="00864F15" w:rsidRPr="00864F15" w:rsidRDefault="00864F15" w:rsidP="00864F15">
    <w:pPr>
      <w:pStyle w:val="Pidipagina"/>
      <w:jc w:val="center"/>
      <w:rPr>
        <w:rFonts w:ascii="Helvetica Neue" w:hAnsi="Helvetica Neue"/>
        <w:sz w:val="18"/>
        <w:szCs w:val="18"/>
      </w:rPr>
    </w:pPr>
    <w:r w:rsidRPr="00864F15">
      <w:rPr>
        <w:rFonts w:ascii="Helvetica Neue" w:hAnsi="Helvetica Neue"/>
        <w:sz w:val="18"/>
        <w:szCs w:val="18"/>
      </w:rPr>
      <w:t>tel. (+39) 0828997433 - fax (+39) 0828997435 - e mail: droryspacklist@drorys.it - www.drorys.it</w:t>
    </w:r>
  </w:p>
  <w:p w14:paraId="7FA21477" w14:textId="77777777" w:rsidR="00864F15" w:rsidRPr="00864F15" w:rsidRDefault="00864F15" w:rsidP="00864F15">
    <w:pPr>
      <w:pStyle w:val="Pidipagina"/>
      <w:jc w:val="center"/>
      <w:rPr>
        <w:rFonts w:ascii="Helvetica Neue" w:hAnsi="Helvetica Neue"/>
        <w:sz w:val="18"/>
        <w:szCs w:val="18"/>
      </w:rPr>
    </w:pPr>
  </w:p>
  <w:p w14:paraId="51ACBCA1" w14:textId="16DBEFD8" w:rsidR="00B247A7" w:rsidRPr="00864F15" w:rsidRDefault="00864F15" w:rsidP="00864F15">
    <w:pPr>
      <w:pStyle w:val="Pidipagina"/>
      <w:jc w:val="center"/>
      <w:rPr>
        <w:rFonts w:ascii="Helvetica Neue" w:hAnsi="Helvetica Neue"/>
        <w:sz w:val="16"/>
        <w:szCs w:val="16"/>
      </w:rPr>
    </w:pPr>
    <w:r w:rsidRPr="00864F15">
      <w:rPr>
        <w:rFonts w:ascii="Helvetica Neue" w:hAnsi="Helvetica Neue"/>
        <w:sz w:val="16"/>
        <w:szCs w:val="16"/>
      </w:rPr>
      <w:t xml:space="preserve">P.IVA 05924560633 - U.L.TO 1198464 - R.E.A. SA 259006 - Reg. </w:t>
    </w:r>
    <w:proofErr w:type="spellStart"/>
    <w:r w:rsidRPr="00864F15">
      <w:rPr>
        <w:rFonts w:ascii="Helvetica Neue" w:hAnsi="Helvetica Neue"/>
        <w:sz w:val="16"/>
        <w:szCs w:val="16"/>
      </w:rPr>
      <w:t>Imp</w:t>
    </w:r>
    <w:proofErr w:type="spellEnd"/>
    <w:r w:rsidRPr="00864F15">
      <w:rPr>
        <w:rFonts w:ascii="Helvetica Neue" w:hAnsi="Helvetica Neue"/>
        <w:sz w:val="16"/>
        <w:szCs w:val="16"/>
      </w:rPr>
      <w:t xml:space="preserve">. SA05924560633 - Capitale sociale </w:t>
    </w:r>
    <w:proofErr w:type="spellStart"/>
    <w:r w:rsidRPr="00864F15">
      <w:rPr>
        <w:rFonts w:ascii="Helvetica Neue" w:hAnsi="Helvetica Neue"/>
        <w:sz w:val="16"/>
        <w:szCs w:val="16"/>
      </w:rPr>
      <w:t>i.v</w:t>
    </w:r>
    <w:proofErr w:type="spellEnd"/>
    <w:r w:rsidRPr="00864F15">
      <w:rPr>
        <w:rFonts w:ascii="Helvetica Neue" w:hAnsi="Helvetica Neue"/>
        <w:sz w:val="16"/>
        <w:szCs w:val="16"/>
      </w:rPr>
      <w:t>.: 2.392.066,00 Euro</w:t>
    </w:r>
  </w:p>
  <w:p w14:paraId="55087CA8" w14:textId="77777777" w:rsidR="00864F15" w:rsidRPr="00864F15" w:rsidRDefault="00864F15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405BF" w14:textId="77777777" w:rsidR="00B247A7" w:rsidRDefault="00B247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AAEE2" w14:textId="77777777" w:rsidR="00882514" w:rsidRDefault="00882514" w:rsidP="00B247A7">
      <w:r>
        <w:separator/>
      </w:r>
    </w:p>
  </w:footnote>
  <w:footnote w:type="continuationSeparator" w:id="0">
    <w:p w14:paraId="01342735" w14:textId="77777777" w:rsidR="00882514" w:rsidRDefault="00882514" w:rsidP="00B2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59A75" w14:textId="77777777" w:rsidR="00B247A7" w:rsidRDefault="00B247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CE20" w14:textId="1B38AF68" w:rsidR="00B247A7" w:rsidRDefault="00B247A7" w:rsidP="00B247A7">
    <w:pPr>
      <w:pStyle w:val="Intestazione"/>
      <w:jc w:val="center"/>
    </w:pPr>
    <w:r>
      <w:rPr>
        <w:noProof/>
      </w:rPr>
      <w:drawing>
        <wp:inline distT="0" distB="0" distL="0" distR="0" wp14:anchorId="68ADF92D" wp14:editId="475CE07D">
          <wp:extent cx="2336800" cy="5461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F23E5" w14:textId="77777777" w:rsidR="00B247A7" w:rsidRDefault="00B247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07BE"/>
    <w:multiLevelType w:val="multilevel"/>
    <w:tmpl w:val="FA14727A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02529A4"/>
    <w:multiLevelType w:val="multilevel"/>
    <w:tmpl w:val="6C020A9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560F36E7"/>
    <w:multiLevelType w:val="multilevel"/>
    <w:tmpl w:val="C7FEDAAE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580E530A"/>
    <w:multiLevelType w:val="multilevel"/>
    <w:tmpl w:val="C2BC180C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592B0082"/>
    <w:multiLevelType w:val="multilevel"/>
    <w:tmpl w:val="CCDE0A70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6853079E"/>
    <w:multiLevelType w:val="multilevel"/>
    <w:tmpl w:val="D7E8706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708E537C"/>
    <w:multiLevelType w:val="multilevel"/>
    <w:tmpl w:val="AE5A23E6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70E371DF"/>
    <w:multiLevelType w:val="multilevel"/>
    <w:tmpl w:val="1A6E3BAC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A7"/>
    <w:rsid w:val="000056BF"/>
    <w:rsid w:val="001A4068"/>
    <w:rsid w:val="002978EE"/>
    <w:rsid w:val="002A28DA"/>
    <w:rsid w:val="0033176F"/>
    <w:rsid w:val="00332F16"/>
    <w:rsid w:val="0042003B"/>
    <w:rsid w:val="00547E50"/>
    <w:rsid w:val="006E0AA4"/>
    <w:rsid w:val="007F7966"/>
    <w:rsid w:val="00864F15"/>
    <w:rsid w:val="00882514"/>
    <w:rsid w:val="008B1109"/>
    <w:rsid w:val="00935CB4"/>
    <w:rsid w:val="00984C2A"/>
    <w:rsid w:val="00A94609"/>
    <w:rsid w:val="00B247A7"/>
    <w:rsid w:val="00D77DBE"/>
    <w:rsid w:val="00D96484"/>
    <w:rsid w:val="00DD4F00"/>
    <w:rsid w:val="00E87AE7"/>
    <w:rsid w:val="00F8291E"/>
    <w:rsid w:val="00FA429A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B49B99"/>
  <w15:chartTrackingRefBased/>
  <w15:docId w15:val="{9D741E5B-AB15-004B-BB6F-B588E084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4609"/>
    <w:pPr>
      <w:widowControl w:val="0"/>
    </w:pPr>
    <w:rPr>
      <w:rFonts w:ascii="Arial" w:eastAsia="Arial" w:hAnsi="Arial" w:cs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4609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4609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94609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47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7A7"/>
  </w:style>
  <w:style w:type="paragraph" w:styleId="Pidipagina">
    <w:name w:val="footer"/>
    <w:basedOn w:val="Normale"/>
    <w:link w:val="PidipaginaCarattere"/>
    <w:uiPriority w:val="99"/>
    <w:unhideWhenUsed/>
    <w:rsid w:val="00B247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7A7"/>
  </w:style>
  <w:style w:type="character" w:customStyle="1" w:styleId="00-StileDati">
    <w:name w:val="00-StileDati"/>
    <w:autoRedefine/>
    <w:rsid w:val="007F7966"/>
    <w:rPr>
      <w:color w:val="000000"/>
    </w:rPr>
  </w:style>
  <w:style w:type="paragraph" w:styleId="Nessunaspaziatura">
    <w:name w:val="No Spacing"/>
    <w:uiPriority w:val="1"/>
    <w:qFormat/>
    <w:rsid w:val="007F7966"/>
    <w:rPr>
      <w:rFonts w:ascii="Calibri" w:eastAsia="Calibri" w:hAnsi="Calibri" w:cs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4609"/>
    <w:rPr>
      <w:rFonts w:ascii="Arial" w:eastAsia="Arial" w:hAnsi="Arial" w:cs="Arial"/>
      <w:b/>
      <w:bCs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4609"/>
    <w:rPr>
      <w:rFonts w:ascii="Arial" w:eastAsia="Arial" w:hAnsi="Arial" w:cs="Arial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4609"/>
    <w:rPr>
      <w:rFonts w:ascii="Arial" w:eastAsia="Arial" w:hAnsi="Arial" w:cs="Arial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A9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2026-03-31T09:28:00Z</cp:lastPrinted>
  <dcterms:created xsi:type="dcterms:W3CDTF">2026-03-31T12:19:00Z</dcterms:created>
  <dcterms:modified xsi:type="dcterms:W3CDTF">2026-04-01T13:02:00Z</dcterms:modified>
</cp:coreProperties>
</file>